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67F3" w14:textId="77777777" w:rsidR="001A6E24" w:rsidRDefault="001A6E24">
      <w:pPr>
        <w:widowControl/>
        <w:adjustRightInd w:val="0"/>
        <w:snapToGrid w:val="0"/>
        <w:spacing w:line="360" w:lineRule="auto"/>
        <w:ind w:firstLineChars="200" w:firstLine="480"/>
        <w:rPr>
          <w:kern w:val="0"/>
          <w:sz w:val="24"/>
        </w:rPr>
      </w:pPr>
      <w:bookmarkStart w:id="0" w:name="_GoBack"/>
      <w:bookmarkEnd w:id="0"/>
    </w:p>
    <w:p w14:paraId="79639FFA" w14:textId="77777777" w:rsidR="001A6E24" w:rsidRDefault="001A6E24">
      <w:pPr>
        <w:widowControl/>
        <w:adjustRightInd w:val="0"/>
        <w:snapToGrid w:val="0"/>
        <w:spacing w:line="360" w:lineRule="auto"/>
        <w:ind w:firstLineChars="200" w:firstLine="480"/>
        <w:rPr>
          <w:kern w:val="0"/>
          <w:sz w:val="24"/>
        </w:rPr>
      </w:pPr>
    </w:p>
    <w:p w14:paraId="7DFD3DB1" w14:textId="77777777" w:rsidR="001A6E24" w:rsidRDefault="001A6E24">
      <w:pPr>
        <w:widowControl/>
        <w:adjustRightInd w:val="0"/>
        <w:snapToGrid w:val="0"/>
        <w:spacing w:line="360" w:lineRule="auto"/>
        <w:ind w:firstLineChars="200" w:firstLine="480"/>
        <w:rPr>
          <w:kern w:val="0"/>
          <w:sz w:val="24"/>
        </w:rPr>
      </w:pPr>
    </w:p>
    <w:p w14:paraId="7734A383" w14:textId="77777777" w:rsidR="001A6E24" w:rsidRDefault="001A6E24">
      <w:pPr>
        <w:widowControl/>
        <w:adjustRightInd w:val="0"/>
        <w:snapToGrid w:val="0"/>
        <w:spacing w:line="360" w:lineRule="auto"/>
        <w:ind w:firstLineChars="200" w:firstLine="480"/>
        <w:rPr>
          <w:kern w:val="0"/>
          <w:sz w:val="24"/>
        </w:rPr>
      </w:pPr>
    </w:p>
    <w:p w14:paraId="3971CE4E" w14:textId="77777777" w:rsidR="001A6E24" w:rsidRDefault="001A6E24">
      <w:pPr>
        <w:widowControl/>
        <w:adjustRightInd w:val="0"/>
        <w:snapToGrid w:val="0"/>
        <w:spacing w:line="360" w:lineRule="auto"/>
        <w:ind w:firstLineChars="200" w:firstLine="480"/>
        <w:rPr>
          <w:kern w:val="0"/>
          <w:sz w:val="24"/>
        </w:rPr>
      </w:pPr>
    </w:p>
    <w:p w14:paraId="5E044799" w14:textId="77777777" w:rsidR="001A6E24" w:rsidRDefault="001A6E24">
      <w:pPr>
        <w:widowControl/>
        <w:adjustRightInd w:val="0"/>
        <w:snapToGrid w:val="0"/>
        <w:spacing w:line="360" w:lineRule="auto"/>
        <w:ind w:firstLineChars="200" w:firstLine="480"/>
        <w:rPr>
          <w:kern w:val="0"/>
          <w:sz w:val="24"/>
        </w:rPr>
      </w:pPr>
    </w:p>
    <w:p w14:paraId="653B9A70" w14:textId="77777777" w:rsidR="001A6E24" w:rsidRDefault="001A6E24">
      <w:pPr>
        <w:widowControl/>
        <w:adjustRightInd w:val="0"/>
        <w:snapToGrid w:val="0"/>
        <w:spacing w:line="360" w:lineRule="auto"/>
        <w:ind w:firstLineChars="200" w:firstLine="480"/>
        <w:rPr>
          <w:kern w:val="0"/>
          <w:sz w:val="24"/>
        </w:rPr>
      </w:pPr>
    </w:p>
    <w:p w14:paraId="3AA09D12" w14:textId="77777777" w:rsidR="001A6E24" w:rsidRDefault="001A6E24">
      <w:pPr>
        <w:widowControl/>
        <w:adjustRightInd w:val="0"/>
        <w:snapToGrid w:val="0"/>
        <w:spacing w:line="360" w:lineRule="auto"/>
        <w:ind w:firstLineChars="200" w:firstLine="480"/>
        <w:rPr>
          <w:kern w:val="0"/>
          <w:sz w:val="24"/>
        </w:rPr>
      </w:pPr>
    </w:p>
    <w:p w14:paraId="3EB681F9" w14:textId="77777777" w:rsidR="001A6E24" w:rsidRDefault="001A6E24">
      <w:pPr>
        <w:widowControl/>
        <w:adjustRightInd w:val="0"/>
        <w:snapToGrid w:val="0"/>
        <w:spacing w:line="360" w:lineRule="auto"/>
        <w:ind w:firstLineChars="200" w:firstLine="480"/>
        <w:rPr>
          <w:kern w:val="0"/>
          <w:sz w:val="24"/>
        </w:rPr>
      </w:pPr>
    </w:p>
    <w:p w14:paraId="7AA4FD67" w14:textId="66286482" w:rsidR="001A6E24" w:rsidRDefault="000739D5">
      <w:pPr>
        <w:jc w:val="center"/>
        <w:rPr>
          <w:b/>
          <w:sz w:val="48"/>
        </w:rPr>
      </w:pPr>
      <w:proofErr w:type="gramStart"/>
      <w:r>
        <w:rPr>
          <w:rFonts w:hint="eastAsia"/>
          <w:b/>
          <w:sz w:val="48"/>
        </w:rPr>
        <w:t>融通央企精选</w:t>
      </w:r>
      <w:proofErr w:type="gramEnd"/>
      <w:r>
        <w:rPr>
          <w:rFonts w:hint="eastAsia"/>
          <w:b/>
          <w:sz w:val="48"/>
        </w:rPr>
        <w:t>混合型证券投资基金</w:t>
      </w:r>
    </w:p>
    <w:p w14:paraId="269A515B" w14:textId="53F39C56" w:rsidR="001A6E24" w:rsidRDefault="000739D5">
      <w:pPr>
        <w:jc w:val="center"/>
        <w:rPr>
          <w:b/>
          <w:sz w:val="48"/>
        </w:rPr>
      </w:pPr>
      <w:r>
        <w:rPr>
          <w:rFonts w:hint="eastAsia"/>
          <w:b/>
          <w:sz w:val="48"/>
        </w:rPr>
        <w:t>托管协议</w:t>
      </w:r>
    </w:p>
    <w:p w14:paraId="092FCA22" w14:textId="77777777" w:rsidR="001A6E24" w:rsidRDefault="000739D5">
      <w:pPr>
        <w:jc w:val="center"/>
        <w:rPr>
          <w:b/>
          <w:sz w:val="48"/>
        </w:rPr>
      </w:pPr>
      <w:r>
        <w:rPr>
          <w:rFonts w:hint="eastAsia"/>
          <w:b/>
          <w:sz w:val="48"/>
        </w:rPr>
        <w:t xml:space="preserve"> </w:t>
      </w:r>
    </w:p>
    <w:p w14:paraId="096A2510" w14:textId="77777777" w:rsidR="001A6E24" w:rsidRDefault="001A6E24">
      <w:pPr>
        <w:widowControl/>
        <w:adjustRightInd w:val="0"/>
        <w:snapToGrid w:val="0"/>
        <w:spacing w:line="360" w:lineRule="auto"/>
        <w:ind w:firstLineChars="200" w:firstLine="480"/>
        <w:rPr>
          <w:kern w:val="0"/>
          <w:sz w:val="24"/>
        </w:rPr>
      </w:pPr>
    </w:p>
    <w:p w14:paraId="481C9ED2" w14:textId="77777777" w:rsidR="001A6E24" w:rsidRDefault="001A6E24">
      <w:pPr>
        <w:widowControl/>
        <w:adjustRightInd w:val="0"/>
        <w:snapToGrid w:val="0"/>
        <w:spacing w:line="360" w:lineRule="auto"/>
        <w:ind w:firstLineChars="200" w:firstLine="480"/>
        <w:rPr>
          <w:kern w:val="0"/>
          <w:sz w:val="24"/>
        </w:rPr>
      </w:pPr>
    </w:p>
    <w:p w14:paraId="0D05A71F" w14:textId="77777777" w:rsidR="001A6E24" w:rsidRDefault="001A6E24">
      <w:pPr>
        <w:widowControl/>
        <w:adjustRightInd w:val="0"/>
        <w:snapToGrid w:val="0"/>
        <w:spacing w:line="360" w:lineRule="auto"/>
        <w:ind w:firstLineChars="200" w:firstLine="480"/>
        <w:rPr>
          <w:kern w:val="0"/>
          <w:sz w:val="24"/>
        </w:rPr>
      </w:pPr>
    </w:p>
    <w:p w14:paraId="2CE91905" w14:textId="77777777" w:rsidR="001A6E24" w:rsidRDefault="001A6E24">
      <w:pPr>
        <w:widowControl/>
        <w:adjustRightInd w:val="0"/>
        <w:snapToGrid w:val="0"/>
        <w:spacing w:line="360" w:lineRule="auto"/>
        <w:ind w:firstLineChars="200" w:firstLine="480"/>
        <w:rPr>
          <w:kern w:val="0"/>
          <w:sz w:val="24"/>
        </w:rPr>
      </w:pPr>
    </w:p>
    <w:p w14:paraId="0571969B" w14:textId="77777777" w:rsidR="001A6E24" w:rsidRDefault="001A6E24">
      <w:pPr>
        <w:widowControl/>
        <w:adjustRightInd w:val="0"/>
        <w:snapToGrid w:val="0"/>
        <w:spacing w:line="360" w:lineRule="auto"/>
        <w:ind w:firstLineChars="200" w:firstLine="480"/>
        <w:rPr>
          <w:kern w:val="0"/>
          <w:sz w:val="24"/>
        </w:rPr>
      </w:pPr>
    </w:p>
    <w:p w14:paraId="71AB7E37" w14:textId="77777777" w:rsidR="001A6E24" w:rsidRDefault="001A6E24">
      <w:pPr>
        <w:widowControl/>
        <w:adjustRightInd w:val="0"/>
        <w:snapToGrid w:val="0"/>
        <w:spacing w:line="360" w:lineRule="auto"/>
        <w:ind w:firstLineChars="200" w:firstLine="480"/>
        <w:rPr>
          <w:kern w:val="0"/>
          <w:sz w:val="24"/>
        </w:rPr>
      </w:pPr>
    </w:p>
    <w:p w14:paraId="5B15EFE0" w14:textId="77777777" w:rsidR="001A6E24" w:rsidRDefault="001A6E24">
      <w:pPr>
        <w:widowControl/>
        <w:adjustRightInd w:val="0"/>
        <w:snapToGrid w:val="0"/>
        <w:spacing w:line="360" w:lineRule="auto"/>
        <w:ind w:firstLineChars="200" w:firstLine="480"/>
        <w:rPr>
          <w:kern w:val="0"/>
          <w:sz w:val="24"/>
        </w:rPr>
      </w:pPr>
    </w:p>
    <w:p w14:paraId="73A053CA" w14:textId="77777777" w:rsidR="001A6E24" w:rsidRDefault="000739D5">
      <w:pPr>
        <w:jc w:val="center"/>
        <w:rPr>
          <w:b/>
          <w:sz w:val="36"/>
        </w:rPr>
      </w:pPr>
      <w:r>
        <w:rPr>
          <w:rFonts w:hint="eastAsia"/>
          <w:b/>
          <w:sz w:val="36"/>
        </w:rPr>
        <w:t>基金管理人：</w:t>
      </w:r>
      <w:r>
        <w:rPr>
          <w:rFonts w:hint="eastAsia"/>
          <w:b/>
          <w:sz w:val="36"/>
          <w:szCs w:val="20"/>
        </w:rPr>
        <w:t>融通</w:t>
      </w:r>
      <w:r>
        <w:rPr>
          <w:rFonts w:hint="eastAsia"/>
          <w:b/>
          <w:sz w:val="36"/>
        </w:rPr>
        <w:t>基金管理有限公司</w:t>
      </w:r>
    </w:p>
    <w:p w14:paraId="68BB7068" w14:textId="77777777" w:rsidR="001A6E24" w:rsidRDefault="000739D5">
      <w:pPr>
        <w:jc w:val="center"/>
        <w:rPr>
          <w:b/>
          <w:sz w:val="36"/>
        </w:rPr>
      </w:pPr>
      <w:r>
        <w:rPr>
          <w:rFonts w:hint="eastAsia"/>
          <w:b/>
          <w:sz w:val="36"/>
        </w:rPr>
        <w:t>基金托管人：中国建设银行股份有限公司</w:t>
      </w:r>
    </w:p>
    <w:p w14:paraId="79D421B7" w14:textId="77777777" w:rsidR="001A6E24" w:rsidRDefault="001A6E24">
      <w:pPr>
        <w:widowControl/>
        <w:adjustRightInd w:val="0"/>
        <w:snapToGrid w:val="0"/>
        <w:spacing w:line="360" w:lineRule="auto"/>
        <w:ind w:firstLineChars="200" w:firstLine="480"/>
        <w:rPr>
          <w:kern w:val="0"/>
          <w:sz w:val="24"/>
        </w:rPr>
      </w:pPr>
    </w:p>
    <w:p w14:paraId="5A1E64D0" w14:textId="77777777" w:rsidR="001A6E24" w:rsidRDefault="001A6E24">
      <w:pPr>
        <w:widowControl/>
        <w:adjustRightInd w:val="0"/>
        <w:snapToGrid w:val="0"/>
        <w:spacing w:line="360" w:lineRule="auto"/>
        <w:ind w:firstLineChars="200" w:firstLine="480"/>
        <w:rPr>
          <w:kern w:val="0"/>
          <w:sz w:val="24"/>
        </w:rPr>
      </w:pPr>
    </w:p>
    <w:p w14:paraId="5B0E58CD" w14:textId="77777777" w:rsidR="001A6E24" w:rsidRDefault="001A6E24">
      <w:pPr>
        <w:widowControl/>
        <w:adjustRightInd w:val="0"/>
        <w:snapToGrid w:val="0"/>
        <w:spacing w:line="360" w:lineRule="auto"/>
        <w:ind w:firstLineChars="200" w:firstLine="480"/>
        <w:rPr>
          <w:kern w:val="0"/>
          <w:sz w:val="24"/>
        </w:rPr>
      </w:pPr>
    </w:p>
    <w:p w14:paraId="50719720" w14:textId="77777777" w:rsidR="001A6E24" w:rsidRDefault="001A6E24">
      <w:pPr>
        <w:widowControl/>
        <w:adjustRightInd w:val="0"/>
        <w:snapToGrid w:val="0"/>
        <w:spacing w:line="360" w:lineRule="auto"/>
        <w:ind w:firstLineChars="200" w:firstLine="480"/>
        <w:rPr>
          <w:kern w:val="0"/>
          <w:sz w:val="24"/>
        </w:rPr>
      </w:pPr>
    </w:p>
    <w:p w14:paraId="3BF852C6" w14:textId="04B49AE9" w:rsidR="001A6E24" w:rsidRDefault="000739D5" w:rsidP="000A31DB">
      <w:pPr>
        <w:jc w:val="center"/>
        <w:rPr>
          <w:sz w:val="24"/>
        </w:rPr>
        <w:sectPr w:rsidR="001A6E24">
          <w:headerReference w:type="default" r:id="rId7"/>
          <w:footerReference w:type="even" r:id="rId8"/>
          <w:footerReference w:type="default" r:id="rId9"/>
          <w:pgSz w:w="11906" w:h="16838"/>
          <w:pgMar w:top="1418" w:right="1701" w:bottom="1418" w:left="1701" w:header="851" w:footer="992" w:gutter="0"/>
          <w:cols w:space="425"/>
          <w:docGrid w:type="lines" w:linePitch="312"/>
        </w:sectPr>
      </w:pPr>
      <w:r>
        <w:rPr>
          <w:rFonts w:hint="eastAsia"/>
          <w:b/>
          <w:sz w:val="36"/>
          <w:szCs w:val="20"/>
        </w:rPr>
        <w:t>二〇二</w:t>
      </w:r>
      <w:r w:rsidR="00451534">
        <w:rPr>
          <w:rFonts w:hint="eastAsia"/>
          <w:b/>
          <w:sz w:val="36"/>
          <w:szCs w:val="20"/>
        </w:rPr>
        <w:t>五</w:t>
      </w:r>
      <w:r>
        <w:rPr>
          <w:rFonts w:hint="eastAsia"/>
          <w:b/>
          <w:sz w:val="36"/>
          <w:szCs w:val="20"/>
        </w:rPr>
        <w:t>年</w:t>
      </w:r>
      <w:r w:rsidR="00583642">
        <w:rPr>
          <w:rFonts w:hint="eastAsia"/>
          <w:b/>
          <w:sz w:val="36"/>
          <w:szCs w:val="20"/>
        </w:rPr>
        <w:t>二</w:t>
      </w:r>
      <w:r>
        <w:rPr>
          <w:rFonts w:hint="eastAsia"/>
          <w:b/>
          <w:sz w:val="36"/>
          <w:szCs w:val="20"/>
        </w:rPr>
        <w:t>月</w:t>
      </w:r>
    </w:p>
    <w:p w14:paraId="408C3BFD" w14:textId="77777777" w:rsidR="001A6E24" w:rsidRDefault="001A6E24">
      <w:pPr>
        <w:adjustRightInd w:val="0"/>
        <w:snapToGrid w:val="0"/>
        <w:spacing w:line="360" w:lineRule="auto"/>
        <w:rPr>
          <w:sz w:val="24"/>
        </w:rPr>
      </w:pPr>
    </w:p>
    <w:p w14:paraId="5EE62C61" w14:textId="2B3A06FF" w:rsidR="001A6E24" w:rsidRDefault="000739D5">
      <w:pPr>
        <w:spacing w:line="360" w:lineRule="auto"/>
        <w:jc w:val="center"/>
        <w:rPr>
          <w:b/>
          <w:sz w:val="30"/>
        </w:rPr>
      </w:pPr>
      <w:r>
        <w:rPr>
          <w:rFonts w:hint="eastAsia"/>
          <w:b/>
          <w:sz w:val="30"/>
        </w:rPr>
        <w:t>目</w:t>
      </w:r>
      <w:r>
        <w:rPr>
          <w:b/>
          <w:sz w:val="30"/>
        </w:rPr>
        <w:t xml:space="preserve">    </w:t>
      </w:r>
      <w:r>
        <w:rPr>
          <w:rFonts w:hint="eastAsia"/>
          <w:b/>
          <w:sz w:val="30"/>
        </w:rPr>
        <w:t>录</w:t>
      </w:r>
    </w:p>
    <w:p w14:paraId="443B981D" w14:textId="4651B00E" w:rsidR="001A6E24" w:rsidRDefault="000739D5">
      <w:pPr>
        <w:pStyle w:val="23"/>
        <w:tabs>
          <w:tab w:val="right" w:leader="dot" w:pos="8494"/>
        </w:tabs>
        <w:spacing w:line="360" w:lineRule="auto"/>
        <w:rPr>
          <w:noProof/>
          <w:sz w:val="24"/>
        </w:rPr>
      </w:pPr>
      <w:r>
        <w:rPr>
          <w:sz w:val="24"/>
        </w:rPr>
        <w:fldChar w:fldCharType="begin"/>
      </w:r>
      <w:r>
        <w:rPr>
          <w:sz w:val="24"/>
        </w:rPr>
        <w:instrText xml:space="preserve"> TOC \o "1-2" \h \z </w:instrText>
      </w:r>
      <w:r>
        <w:rPr>
          <w:sz w:val="24"/>
        </w:rPr>
        <w:fldChar w:fldCharType="separate"/>
      </w:r>
      <w:hyperlink w:anchor="_Toc124325885" w:history="1">
        <w:r>
          <w:rPr>
            <w:rStyle w:val="af6"/>
            <w:rFonts w:hAnsi="宋体" w:hint="eastAsia"/>
            <w:noProof/>
            <w:sz w:val="24"/>
          </w:rPr>
          <w:t>一、基金托管协议当事人</w:t>
        </w:r>
        <w:r>
          <w:rPr>
            <w:noProof/>
            <w:sz w:val="24"/>
          </w:rPr>
          <w:tab/>
        </w:r>
        <w:r>
          <w:rPr>
            <w:noProof/>
            <w:sz w:val="24"/>
          </w:rPr>
          <w:fldChar w:fldCharType="begin"/>
        </w:r>
        <w:r>
          <w:rPr>
            <w:noProof/>
            <w:sz w:val="24"/>
          </w:rPr>
          <w:instrText xml:space="preserve"> PAGEREF _Toc124325885 \h </w:instrText>
        </w:r>
        <w:r>
          <w:rPr>
            <w:noProof/>
            <w:sz w:val="24"/>
          </w:rPr>
        </w:r>
        <w:r>
          <w:rPr>
            <w:noProof/>
            <w:sz w:val="24"/>
          </w:rPr>
          <w:fldChar w:fldCharType="separate"/>
        </w:r>
        <w:r w:rsidR="000A31DB">
          <w:rPr>
            <w:noProof/>
            <w:sz w:val="24"/>
          </w:rPr>
          <w:t>1</w:t>
        </w:r>
        <w:r>
          <w:rPr>
            <w:noProof/>
            <w:sz w:val="24"/>
          </w:rPr>
          <w:fldChar w:fldCharType="end"/>
        </w:r>
      </w:hyperlink>
    </w:p>
    <w:p w14:paraId="3D477B15" w14:textId="0377CF03" w:rsidR="001A6E24" w:rsidRDefault="00EA1F81">
      <w:pPr>
        <w:pStyle w:val="23"/>
        <w:tabs>
          <w:tab w:val="right" w:leader="dot" w:pos="8494"/>
        </w:tabs>
        <w:spacing w:line="360" w:lineRule="auto"/>
        <w:rPr>
          <w:noProof/>
          <w:sz w:val="24"/>
        </w:rPr>
      </w:pPr>
      <w:hyperlink w:anchor="_Toc124325886" w:history="1">
        <w:r w:rsidR="000739D5">
          <w:rPr>
            <w:rStyle w:val="af6"/>
            <w:rFonts w:hAnsi="宋体" w:hint="eastAsia"/>
            <w:noProof/>
            <w:sz w:val="24"/>
          </w:rPr>
          <w:t>二、基金托管协议的依据、目的和原则</w:t>
        </w:r>
        <w:r w:rsidR="000739D5">
          <w:rPr>
            <w:noProof/>
            <w:sz w:val="24"/>
          </w:rPr>
          <w:tab/>
        </w:r>
        <w:r w:rsidR="000739D5">
          <w:rPr>
            <w:noProof/>
            <w:sz w:val="24"/>
          </w:rPr>
          <w:fldChar w:fldCharType="begin"/>
        </w:r>
        <w:r w:rsidR="000739D5">
          <w:rPr>
            <w:noProof/>
            <w:sz w:val="24"/>
          </w:rPr>
          <w:instrText xml:space="preserve"> PAGEREF _Toc124325886 \h </w:instrText>
        </w:r>
        <w:r w:rsidR="000739D5">
          <w:rPr>
            <w:noProof/>
            <w:sz w:val="24"/>
          </w:rPr>
        </w:r>
        <w:r w:rsidR="000739D5">
          <w:rPr>
            <w:noProof/>
            <w:sz w:val="24"/>
          </w:rPr>
          <w:fldChar w:fldCharType="separate"/>
        </w:r>
        <w:r w:rsidR="000A31DB">
          <w:rPr>
            <w:noProof/>
            <w:sz w:val="24"/>
          </w:rPr>
          <w:t>4</w:t>
        </w:r>
        <w:r w:rsidR="000739D5">
          <w:rPr>
            <w:noProof/>
            <w:sz w:val="24"/>
          </w:rPr>
          <w:fldChar w:fldCharType="end"/>
        </w:r>
      </w:hyperlink>
    </w:p>
    <w:p w14:paraId="7A49B9B4" w14:textId="319398EA" w:rsidR="001A6E24" w:rsidRDefault="00EA1F81">
      <w:pPr>
        <w:pStyle w:val="23"/>
        <w:tabs>
          <w:tab w:val="right" w:leader="dot" w:pos="8494"/>
        </w:tabs>
        <w:spacing w:line="360" w:lineRule="auto"/>
        <w:rPr>
          <w:noProof/>
          <w:sz w:val="24"/>
        </w:rPr>
      </w:pPr>
      <w:hyperlink w:anchor="_Toc124325887" w:history="1">
        <w:r w:rsidR="000739D5">
          <w:rPr>
            <w:rStyle w:val="af6"/>
            <w:rFonts w:hAnsi="宋体" w:hint="eastAsia"/>
            <w:noProof/>
            <w:sz w:val="24"/>
          </w:rPr>
          <w:t>三、基金托管人对基金管理人的业务监督和核查</w:t>
        </w:r>
        <w:r w:rsidR="000739D5">
          <w:rPr>
            <w:noProof/>
            <w:sz w:val="24"/>
          </w:rPr>
          <w:tab/>
        </w:r>
        <w:r w:rsidR="000739D5">
          <w:rPr>
            <w:noProof/>
            <w:sz w:val="24"/>
          </w:rPr>
          <w:fldChar w:fldCharType="begin"/>
        </w:r>
        <w:r w:rsidR="000739D5">
          <w:rPr>
            <w:noProof/>
            <w:sz w:val="24"/>
          </w:rPr>
          <w:instrText xml:space="preserve"> PAGEREF _Toc124325887 \h </w:instrText>
        </w:r>
        <w:r w:rsidR="000739D5">
          <w:rPr>
            <w:noProof/>
            <w:sz w:val="24"/>
          </w:rPr>
        </w:r>
        <w:r w:rsidR="000739D5">
          <w:rPr>
            <w:noProof/>
            <w:sz w:val="24"/>
          </w:rPr>
          <w:fldChar w:fldCharType="separate"/>
        </w:r>
        <w:r w:rsidR="000A31DB">
          <w:rPr>
            <w:noProof/>
            <w:sz w:val="24"/>
          </w:rPr>
          <w:t>5</w:t>
        </w:r>
        <w:r w:rsidR="000739D5">
          <w:rPr>
            <w:noProof/>
            <w:sz w:val="24"/>
          </w:rPr>
          <w:fldChar w:fldCharType="end"/>
        </w:r>
      </w:hyperlink>
    </w:p>
    <w:p w14:paraId="79662FDD" w14:textId="5F29D249" w:rsidR="001A6E24" w:rsidRDefault="00EA1F81">
      <w:pPr>
        <w:pStyle w:val="23"/>
        <w:tabs>
          <w:tab w:val="right" w:leader="dot" w:pos="8494"/>
        </w:tabs>
        <w:spacing w:line="360" w:lineRule="auto"/>
        <w:rPr>
          <w:noProof/>
          <w:sz w:val="24"/>
        </w:rPr>
      </w:pPr>
      <w:hyperlink w:anchor="_Toc124325888" w:history="1">
        <w:r w:rsidR="000739D5">
          <w:rPr>
            <w:rStyle w:val="af6"/>
            <w:rFonts w:hAnsi="宋体" w:hint="eastAsia"/>
            <w:noProof/>
            <w:sz w:val="24"/>
          </w:rPr>
          <w:t>四、基金管理人对基金托管人的业务核查</w:t>
        </w:r>
        <w:r w:rsidR="000739D5">
          <w:rPr>
            <w:noProof/>
            <w:sz w:val="24"/>
          </w:rPr>
          <w:tab/>
        </w:r>
        <w:r w:rsidR="000739D5">
          <w:rPr>
            <w:noProof/>
            <w:sz w:val="24"/>
          </w:rPr>
          <w:fldChar w:fldCharType="begin"/>
        </w:r>
        <w:r w:rsidR="000739D5">
          <w:rPr>
            <w:noProof/>
            <w:sz w:val="24"/>
          </w:rPr>
          <w:instrText xml:space="preserve"> PAGEREF _Toc124325888 \h </w:instrText>
        </w:r>
        <w:r w:rsidR="000739D5">
          <w:rPr>
            <w:noProof/>
            <w:sz w:val="24"/>
          </w:rPr>
        </w:r>
        <w:r w:rsidR="000739D5">
          <w:rPr>
            <w:noProof/>
            <w:sz w:val="24"/>
          </w:rPr>
          <w:fldChar w:fldCharType="separate"/>
        </w:r>
        <w:r w:rsidR="000A31DB">
          <w:rPr>
            <w:noProof/>
            <w:sz w:val="24"/>
          </w:rPr>
          <w:t>12</w:t>
        </w:r>
        <w:r w:rsidR="000739D5">
          <w:rPr>
            <w:noProof/>
            <w:sz w:val="24"/>
          </w:rPr>
          <w:fldChar w:fldCharType="end"/>
        </w:r>
      </w:hyperlink>
    </w:p>
    <w:p w14:paraId="60472CB1" w14:textId="042A50FB" w:rsidR="001A6E24" w:rsidRDefault="00EA1F81">
      <w:pPr>
        <w:pStyle w:val="23"/>
        <w:tabs>
          <w:tab w:val="right" w:leader="dot" w:pos="8494"/>
        </w:tabs>
        <w:spacing w:line="360" w:lineRule="auto"/>
        <w:rPr>
          <w:noProof/>
          <w:sz w:val="24"/>
        </w:rPr>
      </w:pPr>
      <w:hyperlink w:anchor="_Toc124325889" w:history="1">
        <w:r w:rsidR="000739D5">
          <w:rPr>
            <w:rStyle w:val="af6"/>
            <w:rFonts w:hAnsi="宋体" w:hint="eastAsia"/>
            <w:noProof/>
            <w:sz w:val="24"/>
          </w:rPr>
          <w:t>五、基金财产的保管</w:t>
        </w:r>
        <w:r w:rsidR="000739D5">
          <w:rPr>
            <w:noProof/>
            <w:sz w:val="24"/>
          </w:rPr>
          <w:tab/>
        </w:r>
        <w:r w:rsidR="000739D5">
          <w:rPr>
            <w:noProof/>
            <w:sz w:val="24"/>
          </w:rPr>
          <w:fldChar w:fldCharType="begin"/>
        </w:r>
        <w:r w:rsidR="000739D5">
          <w:rPr>
            <w:noProof/>
            <w:sz w:val="24"/>
          </w:rPr>
          <w:instrText xml:space="preserve"> PAGEREF _Toc124325889 \h </w:instrText>
        </w:r>
        <w:r w:rsidR="000739D5">
          <w:rPr>
            <w:noProof/>
            <w:sz w:val="24"/>
          </w:rPr>
        </w:r>
        <w:r w:rsidR="000739D5">
          <w:rPr>
            <w:noProof/>
            <w:sz w:val="24"/>
          </w:rPr>
          <w:fldChar w:fldCharType="separate"/>
        </w:r>
        <w:r w:rsidR="000A31DB">
          <w:rPr>
            <w:noProof/>
            <w:sz w:val="24"/>
          </w:rPr>
          <w:t>13</w:t>
        </w:r>
        <w:r w:rsidR="000739D5">
          <w:rPr>
            <w:noProof/>
            <w:sz w:val="24"/>
          </w:rPr>
          <w:fldChar w:fldCharType="end"/>
        </w:r>
      </w:hyperlink>
    </w:p>
    <w:p w14:paraId="258A6270" w14:textId="48B3D4D1" w:rsidR="001A6E24" w:rsidRDefault="00EA1F81">
      <w:pPr>
        <w:pStyle w:val="23"/>
        <w:tabs>
          <w:tab w:val="right" w:leader="dot" w:pos="8494"/>
        </w:tabs>
        <w:spacing w:line="360" w:lineRule="auto"/>
        <w:rPr>
          <w:noProof/>
          <w:sz w:val="24"/>
        </w:rPr>
      </w:pPr>
      <w:hyperlink w:anchor="_Toc124325890" w:history="1">
        <w:r w:rsidR="000739D5">
          <w:rPr>
            <w:rStyle w:val="af6"/>
            <w:rFonts w:hAnsi="宋体" w:hint="eastAsia"/>
            <w:noProof/>
            <w:sz w:val="24"/>
          </w:rPr>
          <w:t>六、指令的发送、确认及执行</w:t>
        </w:r>
        <w:r w:rsidR="000739D5">
          <w:rPr>
            <w:noProof/>
            <w:sz w:val="24"/>
          </w:rPr>
          <w:tab/>
        </w:r>
        <w:r w:rsidR="000739D5">
          <w:rPr>
            <w:noProof/>
            <w:sz w:val="24"/>
          </w:rPr>
          <w:fldChar w:fldCharType="begin"/>
        </w:r>
        <w:r w:rsidR="000739D5">
          <w:rPr>
            <w:noProof/>
            <w:sz w:val="24"/>
          </w:rPr>
          <w:instrText xml:space="preserve"> PAGEREF _Toc124325890 \h </w:instrText>
        </w:r>
        <w:r w:rsidR="000739D5">
          <w:rPr>
            <w:noProof/>
            <w:sz w:val="24"/>
          </w:rPr>
        </w:r>
        <w:r w:rsidR="000739D5">
          <w:rPr>
            <w:noProof/>
            <w:sz w:val="24"/>
          </w:rPr>
          <w:fldChar w:fldCharType="separate"/>
        </w:r>
        <w:r w:rsidR="000A31DB">
          <w:rPr>
            <w:noProof/>
            <w:sz w:val="24"/>
          </w:rPr>
          <w:t>16</w:t>
        </w:r>
        <w:r w:rsidR="000739D5">
          <w:rPr>
            <w:noProof/>
            <w:sz w:val="24"/>
          </w:rPr>
          <w:fldChar w:fldCharType="end"/>
        </w:r>
      </w:hyperlink>
    </w:p>
    <w:p w14:paraId="48EF17E3" w14:textId="1990BBF8" w:rsidR="001A6E24" w:rsidRDefault="00EA1F81">
      <w:pPr>
        <w:pStyle w:val="23"/>
        <w:tabs>
          <w:tab w:val="right" w:leader="dot" w:pos="8494"/>
        </w:tabs>
        <w:spacing w:line="360" w:lineRule="auto"/>
        <w:rPr>
          <w:noProof/>
          <w:sz w:val="24"/>
        </w:rPr>
      </w:pPr>
      <w:hyperlink w:anchor="_Toc124325891" w:history="1">
        <w:r w:rsidR="000739D5">
          <w:rPr>
            <w:rStyle w:val="af6"/>
            <w:rFonts w:hAnsi="宋体" w:hint="eastAsia"/>
            <w:noProof/>
            <w:sz w:val="24"/>
          </w:rPr>
          <w:t>七、交易及清算交收安排</w:t>
        </w:r>
        <w:r w:rsidR="000739D5">
          <w:rPr>
            <w:noProof/>
            <w:sz w:val="24"/>
          </w:rPr>
          <w:tab/>
        </w:r>
        <w:r w:rsidR="000739D5">
          <w:rPr>
            <w:noProof/>
            <w:sz w:val="24"/>
          </w:rPr>
          <w:fldChar w:fldCharType="begin"/>
        </w:r>
        <w:r w:rsidR="000739D5">
          <w:rPr>
            <w:noProof/>
            <w:sz w:val="24"/>
          </w:rPr>
          <w:instrText xml:space="preserve"> PAGEREF _Toc124325891 \h </w:instrText>
        </w:r>
        <w:r w:rsidR="000739D5">
          <w:rPr>
            <w:noProof/>
            <w:sz w:val="24"/>
          </w:rPr>
        </w:r>
        <w:r w:rsidR="000739D5">
          <w:rPr>
            <w:noProof/>
            <w:sz w:val="24"/>
          </w:rPr>
          <w:fldChar w:fldCharType="separate"/>
        </w:r>
        <w:r w:rsidR="000A31DB">
          <w:rPr>
            <w:noProof/>
            <w:sz w:val="24"/>
          </w:rPr>
          <w:t>19</w:t>
        </w:r>
        <w:r w:rsidR="000739D5">
          <w:rPr>
            <w:noProof/>
            <w:sz w:val="24"/>
          </w:rPr>
          <w:fldChar w:fldCharType="end"/>
        </w:r>
      </w:hyperlink>
    </w:p>
    <w:p w14:paraId="177437F5" w14:textId="1C76837A" w:rsidR="001A6E24" w:rsidRDefault="00EA1F81">
      <w:pPr>
        <w:pStyle w:val="23"/>
        <w:tabs>
          <w:tab w:val="right" w:leader="dot" w:pos="8494"/>
        </w:tabs>
        <w:spacing w:line="360" w:lineRule="auto"/>
        <w:rPr>
          <w:noProof/>
          <w:sz w:val="24"/>
        </w:rPr>
      </w:pPr>
      <w:hyperlink w:anchor="_Toc124325892" w:history="1">
        <w:r w:rsidR="000739D5">
          <w:rPr>
            <w:rStyle w:val="af6"/>
            <w:rFonts w:hAnsi="宋体" w:hint="eastAsia"/>
            <w:noProof/>
            <w:sz w:val="24"/>
          </w:rPr>
          <w:t>八、基金资产净值计算和会计核算</w:t>
        </w:r>
        <w:r w:rsidR="000739D5">
          <w:rPr>
            <w:noProof/>
            <w:sz w:val="24"/>
          </w:rPr>
          <w:tab/>
        </w:r>
        <w:r w:rsidR="000739D5">
          <w:rPr>
            <w:noProof/>
            <w:sz w:val="24"/>
          </w:rPr>
          <w:fldChar w:fldCharType="begin"/>
        </w:r>
        <w:r w:rsidR="000739D5">
          <w:rPr>
            <w:noProof/>
            <w:sz w:val="24"/>
          </w:rPr>
          <w:instrText xml:space="preserve"> PAGEREF _Toc124325892 \h </w:instrText>
        </w:r>
        <w:r w:rsidR="000739D5">
          <w:rPr>
            <w:noProof/>
            <w:sz w:val="24"/>
          </w:rPr>
        </w:r>
        <w:r w:rsidR="000739D5">
          <w:rPr>
            <w:noProof/>
            <w:sz w:val="24"/>
          </w:rPr>
          <w:fldChar w:fldCharType="separate"/>
        </w:r>
        <w:r w:rsidR="000A31DB">
          <w:rPr>
            <w:noProof/>
            <w:sz w:val="24"/>
          </w:rPr>
          <w:t>25</w:t>
        </w:r>
        <w:r w:rsidR="000739D5">
          <w:rPr>
            <w:noProof/>
            <w:sz w:val="24"/>
          </w:rPr>
          <w:fldChar w:fldCharType="end"/>
        </w:r>
      </w:hyperlink>
    </w:p>
    <w:p w14:paraId="60937955" w14:textId="7B5ADBD9" w:rsidR="001A6E24" w:rsidRDefault="00EA1F81">
      <w:pPr>
        <w:pStyle w:val="23"/>
        <w:tabs>
          <w:tab w:val="right" w:leader="dot" w:pos="8494"/>
        </w:tabs>
        <w:spacing w:line="360" w:lineRule="auto"/>
        <w:rPr>
          <w:noProof/>
          <w:sz w:val="24"/>
        </w:rPr>
      </w:pPr>
      <w:hyperlink w:anchor="_Toc124325893" w:history="1">
        <w:r w:rsidR="000739D5">
          <w:rPr>
            <w:rStyle w:val="af6"/>
            <w:rFonts w:hAnsi="宋体" w:hint="eastAsia"/>
            <w:noProof/>
            <w:sz w:val="24"/>
          </w:rPr>
          <w:t>九、基金收益分配</w:t>
        </w:r>
        <w:r w:rsidR="000739D5">
          <w:rPr>
            <w:noProof/>
            <w:sz w:val="24"/>
          </w:rPr>
          <w:tab/>
        </w:r>
        <w:r w:rsidR="000739D5">
          <w:rPr>
            <w:noProof/>
            <w:sz w:val="24"/>
          </w:rPr>
          <w:fldChar w:fldCharType="begin"/>
        </w:r>
        <w:r w:rsidR="000739D5">
          <w:rPr>
            <w:noProof/>
            <w:sz w:val="24"/>
          </w:rPr>
          <w:instrText xml:space="preserve"> PAGEREF _Toc124325893 \h </w:instrText>
        </w:r>
        <w:r w:rsidR="000739D5">
          <w:rPr>
            <w:noProof/>
            <w:sz w:val="24"/>
          </w:rPr>
        </w:r>
        <w:r w:rsidR="000739D5">
          <w:rPr>
            <w:noProof/>
            <w:sz w:val="24"/>
          </w:rPr>
          <w:fldChar w:fldCharType="separate"/>
        </w:r>
        <w:r w:rsidR="000A31DB">
          <w:rPr>
            <w:noProof/>
            <w:sz w:val="24"/>
          </w:rPr>
          <w:t>31</w:t>
        </w:r>
        <w:r w:rsidR="000739D5">
          <w:rPr>
            <w:noProof/>
            <w:sz w:val="24"/>
          </w:rPr>
          <w:fldChar w:fldCharType="end"/>
        </w:r>
      </w:hyperlink>
    </w:p>
    <w:p w14:paraId="14A2AF16" w14:textId="4E4A53C1" w:rsidR="001A6E24" w:rsidRDefault="00EA1F81">
      <w:pPr>
        <w:pStyle w:val="23"/>
        <w:tabs>
          <w:tab w:val="right" w:leader="dot" w:pos="8494"/>
        </w:tabs>
        <w:spacing w:line="360" w:lineRule="auto"/>
        <w:rPr>
          <w:noProof/>
          <w:sz w:val="24"/>
        </w:rPr>
      </w:pPr>
      <w:hyperlink w:anchor="_Toc124325894" w:history="1">
        <w:r w:rsidR="000739D5">
          <w:rPr>
            <w:rStyle w:val="af6"/>
            <w:rFonts w:hAnsi="宋体" w:hint="eastAsia"/>
            <w:noProof/>
            <w:sz w:val="24"/>
          </w:rPr>
          <w:t>十、基金信息</w:t>
        </w:r>
        <w:bookmarkStart w:id="1" w:name="_Hlt394492945"/>
        <w:r w:rsidR="000739D5">
          <w:rPr>
            <w:rStyle w:val="af6"/>
            <w:rFonts w:hAnsi="宋体" w:hint="eastAsia"/>
            <w:noProof/>
            <w:sz w:val="24"/>
          </w:rPr>
          <w:t>披</w:t>
        </w:r>
        <w:bookmarkEnd w:id="1"/>
        <w:r w:rsidR="000739D5">
          <w:rPr>
            <w:rStyle w:val="af6"/>
            <w:rFonts w:hAnsi="宋体" w:hint="eastAsia"/>
            <w:noProof/>
            <w:sz w:val="24"/>
          </w:rPr>
          <w:t>露</w:t>
        </w:r>
        <w:r w:rsidR="000739D5">
          <w:rPr>
            <w:noProof/>
            <w:sz w:val="24"/>
          </w:rPr>
          <w:tab/>
        </w:r>
        <w:r w:rsidR="000739D5">
          <w:rPr>
            <w:noProof/>
            <w:sz w:val="24"/>
          </w:rPr>
          <w:fldChar w:fldCharType="begin"/>
        </w:r>
        <w:r w:rsidR="000739D5">
          <w:rPr>
            <w:noProof/>
            <w:sz w:val="24"/>
          </w:rPr>
          <w:instrText xml:space="preserve"> PAGEREF _Toc124325894 \h </w:instrText>
        </w:r>
        <w:r w:rsidR="000739D5">
          <w:rPr>
            <w:noProof/>
            <w:sz w:val="24"/>
          </w:rPr>
        </w:r>
        <w:r w:rsidR="000739D5">
          <w:rPr>
            <w:noProof/>
            <w:sz w:val="24"/>
          </w:rPr>
          <w:fldChar w:fldCharType="separate"/>
        </w:r>
        <w:r w:rsidR="000A31DB">
          <w:rPr>
            <w:noProof/>
            <w:sz w:val="24"/>
          </w:rPr>
          <w:t>32</w:t>
        </w:r>
        <w:r w:rsidR="000739D5">
          <w:rPr>
            <w:noProof/>
            <w:sz w:val="24"/>
          </w:rPr>
          <w:fldChar w:fldCharType="end"/>
        </w:r>
      </w:hyperlink>
    </w:p>
    <w:p w14:paraId="4023A679" w14:textId="7311BA1C" w:rsidR="001A6E24" w:rsidRDefault="00EA1F81">
      <w:pPr>
        <w:pStyle w:val="23"/>
        <w:tabs>
          <w:tab w:val="right" w:leader="dot" w:pos="8494"/>
        </w:tabs>
        <w:spacing w:line="360" w:lineRule="auto"/>
        <w:rPr>
          <w:noProof/>
          <w:sz w:val="24"/>
        </w:rPr>
      </w:pPr>
      <w:hyperlink w:anchor="_Toc124325895" w:history="1">
        <w:r w:rsidR="000739D5">
          <w:rPr>
            <w:rStyle w:val="af6"/>
            <w:rFonts w:hAnsi="宋体" w:hint="eastAsia"/>
            <w:noProof/>
            <w:sz w:val="24"/>
          </w:rPr>
          <w:t>十一、基金费用</w:t>
        </w:r>
        <w:r w:rsidR="000739D5">
          <w:rPr>
            <w:noProof/>
            <w:sz w:val="24"/>
          </w:rPr>
          <w:tab/>
        </w:r>
        <w:r w:rsidR="000739D5">
          <w:rPr>
            <w:noProof/>
            <w:sz w:val="24"/>
          </w:rPr>
          <w:fldChar w:fldCharType="begin"/>
        </w:r>
        <w:r w:rsidR="000739D5">
          <w:rPr>
            <w:noProof/>
            <w:sz w:val="24"/>
          </w:rPr>
          <w:instrText xml:space="preserve"> PAGEREF _Toc124325895 \h </w:instrText>
        </w:r>
        <w:r w:rsidR="000739D5">
          <w:rPr>
            <w:noProof/>
            <w:sz w:val="24"/>
          </w:rPr>
        </w:r>
        <w:r w:rsidR="000739D5">
          <w:rPr>
            <w:noProof/>
            <w:sz w:val="24"/>
          </w:rPr>
          <w:fldChar w:fldCharType="separate"/>
        </w:r>
        <w:r w:rsidR="000A31DB">
          <w:rPr>
            <w:noProof/>
            <w:sz w:val="24"/>
          </w:rPr>
          <w:t>34</w:t>
        </w:r>
        <w:r w:rsidR="000739D5">
          <w:rPr>
            <w:noProof/>
            <w:sz w:val="24"/>
          </w:rPr>
          <w:fldChar w:fldCharType="end"/>
        </w:r>
      </w:hyperlink>
    </w:p>
    <w:p w14:paraId="32B654BD" w14:textId="2D65F53B" w:rsidR="001A6E24" w:rsidRDefault="00EA1F81">
      <w:pPr>
        <w:pStyle w:val="23"/>
        <w:tabs>
          <w:tab w:val="right" w:leader="dot" w:pos="8494"/>
        </w:tabs>
        <w:spacing w:line="360" w:lineRule="auto"/>
        <w:rPr>
          <w:noProof/>
          <w:sz w:val="24"/>
        </w:rPr>
      </w:pPr>
      <w:hyperlink w:anchor="_Toc124325896" w:history="1">
        <w:r w:rsidR="000739D5">
          <w:rPr>
            <w:rStyle w:val="af6"/>
            <w:rFonts w:hAnsi="宋体" w:hint="eastAsia"/>
            <w:noProof/>
            <w:sz w:val="24"/>
          </w:rPr>
          <w:t>十二、基金份额持有人名册的保管</w:t>
        </w:r>
        <w:r w:rsidR="000739D5">
          <w:rPr>
            <w:noProof/>
            <w:sz w:val="24"/>
          </w:rPr>
          <w:tab/>
        </w:r>
        <w:r w:rsidR="000739D5">
          <w:rPr>
            <w:noProof/>
            <w:sz w:val="24"/>
          </w:rPr>
          <w:fldChar w:fldCharType="begin"/>
        </w:r>
        <w:r w:rsidR="000739D5">
          <w:rPr>
            <w:noProof/>
            <w:sz w:val="24"/>
          </w:rPr>
          <w:instrText xml:space="preserve"> PAGEREF _Toc124325896 \h </w:instrText>
        </w:r>
        <w:r w:rsidR="000739D5">
          <w:rPr>
            <w:noProof/>
            <w:sz w:val="24"/>
          </w:rPr>
        </w:r>
        <w:r w:rsidR="000739D5">
          <w:rPr>
            <w:noProof/>
            <w:sz w:val="24"/>
          </w:rPr>
          <w:fldChar w:fldCharType="separate"/>
        </w:r>
        <w:r w:rsidR="000A31DB">
          <w:rPr>
            <w:noProof/>
            <w:sz w:val="24"/>
          </w:rPr>
          <w:t>36</w:t>
        </w:r>
        <w:r w:rsidR="000739D5">
          <w:rPr>
            <w:noProof/>
            <w:sz w:val="24"/>
          </w:rPr>
          <w:fldChar w:fldCharType="end"/>
        </w:r>
      </w:hyperlink>
    </w:p>
    <w:p w14:paraId="17DD95E7" w14:textId="20CFD46E" w:rsidR="001A6E24" w:rsidRDefault="00EA1F81">
      <w:pPr>
        <w:pStyle w:val="23"/>
        <w:tabs>
          <w:tab w:val="right" w:leader="dot" w:pos="8494"/>
        </w:tabs>
        <w:spacing w:line="360" w:lineRule="auto"/>
        <w:rPr>
          <w:noProof/>
          <w:sz w:val="24"/>
        </w:rPr>
      </w:pPr>
      <w:hyperlink w:anchor="_Toc124325897" w:history="1">
        <w:r w:rsidR="000739D5">
          <w:rPr>
            <w:rStyle w:val="af6"/>
            <w:rFonts w:hAnsi="宋体" w:hint="eastAsia"/>
            <w:noProof/>
            <w:sz w:val="24"/>
          </w:rPr>
          <w:t>十三、基金有关文件档案的保存</w:t>
        </w:r>
        <w:r w:rsidR="000739D5">
          <w:rPr>
            <w:noProof/>
            <w:sz w:val="24"/>
          </w:rPr>
          <w:tab/>
        </w:r>
        <w:r w:rsidR="000739D5">
          <w:rPr>
            <w:noProof/>
            <w:sz w:val="24"/>
          </w:rPr>
          <w:fldChar w:fldCharType="begin"/>
        </w:r>
        <w:r w:rsidR="000739D5">
          <w:rPr>
            <w:noProof/>
            <w:sz w:val="24"/>
          </w:rPr>
          <w:instrText xml:space="preserve"> PAGEREF _Toc124325897 \h </w:instrText>
        </w:r>
        <w:r w:rsidR="000739D5">
          <w:rPr>
            <w:noProof/>
            <w:sz w:val="24"/>
          </w:rPr>
        </w:r>
        <w:r w:rsidR="000739D5">
          <w:rPr>
            <w:noProof/>
            <w:sz w:val="24"/>
          </w:rPr>
          <w:fldChar w:fldCharType="separate"/>
        </w:r>
        <w:r w:rsidR="000A31DB">
          <w:rPr>
            <w:noProof/>
            <w:sz w:val="24"/>
          </w:rPr>
          <w:t>37</w:t>
        </w:r>
        <w:r w:rsidR="000739D5">
          <w:rPr>
            <w:noProof/>
            <w:sz w:val="24"/>
          </w:rPr>
          <w:fldChar w:fldCharType="end"/>
        </w:r>
      </w:hyperlink>
    </w:p>
    <w:p w14:paraId="2ACC7E16" w14:textId="50726DBD" w:rsidR="001A6E24" w:rsidRDefault="00EA1F81">
      <w:pPr>
        <w:pStyle w:val="23"/>
        <w:tabs>
          <w:tab w:val="right" w:leader="dot" w:pos="8494"/>
        </w:tabs>
        <w:spacing w:line="360" w:lineRule="auto"/>
        <w:rPr>
          <w:noProof/>
          <w:sz w:val="24"/>
        </w:rPr>
      </w:pPr>
      <w:hyperlink w:anchor="_Toc124325898" w:history="1">
        <w:r w:rsidR="000739D5">
          <w:rPr>
            <w:rStyle w:val="af6"/>
            <w:rFonts w:hAnsi="宋体" w:hint="eastAsia"/>
            <w:noProof/>
            <w:sz w:val="24"/>
          </w:rPr>
          <w:t>十四、基金管理人和基金托管人的更换</w:t>
        </w:r>
        <w:r w:rsidR="000739D5">
          <w:rPr>
            <w:noProof/>
            <w:sz w:val="24"/>
          </w:rPr>
          <w:tab/>
        </w:r>
        <w:r w:rsidR="000739D5">
          <w:rPr>
            <w:noProof/>
            <w:sz w:val="24"/>
          </w:rPr>
          <w:fldChar w:fldCharType="begin"/>
        </w:r>
        <w:r w:rsidR="000739D5">
          <w:rPr>
            <w:noProof/>
            <w:sz w:val="24"/>
          </w:rPr>
          <w:instrText xml:space="preserve"> PAGEREF _Toc124325898 \h </w:instrText>
        </w:r>
        <w:r w:rsidR="000739D5">
          <w:rPr>
            <w:noProof/>
            <w:sz w:val="24"/>
          </w:rPr>
        </w:r>
        <w:r w:rsidR="000739D5">
          <w:rPr>
            <w:noProof/>
            <w:sz w:val="24"/>
          </w:rPr>
          <w:fldChar w:fldCharType="separate"/>
        </w:r>
        <w:r w:rsidR="000A31DB">
          <w:rPr>
            <w:noProof/>
            <w:sz w:val="24"/>
          </w:rPr>
          <w:t>38</w:t>
        </w:r>
        <w:r w:rsidR="000739D5">
          <w:rPr>
            <w:noProof/>
            <w:sz w:val="24"/>
          </w:rPr>
          <w:fldChar w:fldCharType="end"/>
        </w:r>
      </w:hyperlink>
    </w:p>
    <w:p w14:paraId="020DCA31" w14:textId="5B9B3EF0" w:rsidR="001A6E24" w:rsidRDefault="00EA1F81">
      <w:pPr>
        <w:pStyle w:val="23"/>
        <w:tabs>
          <w:tab w:val="right" w:leader="dot" w:pos="8494"/>
        </w:tabs>
        <w:spacing w:line="360" w:lineRule="auto"/>
        <w:rPr>
          <w:noProof/>
          <w:sz w:val="24"/>
        </w:rPr>
      </w:pPr>
      <w:hyperlink w:anchor="_Toc124325899" w:history="1">
        <w:r w:rsidR="000739D5">
          <w:rPr>
            <w:rStyle w:val="af6"/>
            <w:rFonts w:hAnsi="宋体" w:hint="eastAsia"/>
            <w:noProof/>
            <w:sz w:val="24"/>
          </w:rPr>
          <w:t>十五、禁</w:t>
        </w:r>
        <w:bookmarkStart w:id="2" w:name="_Hlt394492503"/>
        <w:bookmarkStart w:id="3" w:name="_Hlt394492504"/>
        <w:r w:rsidR="000739D5">
          <w:rPr>
            <w:rStyle w:val="af6"/>
            <w:rFonts w:hAnsi="宋体" w:hint="eastAsia"/>
            <w:noProof/>
            <w:sz w:val="24"/>
          </w:rPr>
          <w:t>止</w:t>
        </w:r>
        <w:bookmarkEnd w:id="2"/>
        <w:bookmarkEnd w:id="3"/>
        <w:r w:rsidR="000739D5">
          <w:rPr>
            <w:rStyle w:val="af6"/>
            <w:rFonts w:hAnsi="宋体" w:hint="eastAsia"/>
            <w:noProof/>
            <w:sz w:val="24"/>
          </w:rPr>
          <w:t>行为</w:t>
        </w:r>
        <w:r w:rsidR="000739D5">
          <w:rPr>
            <w:noProof/>
            <w:sz w:val="24"/>
          </w:rPr>
          <w:tab/>
        </w:r>
        <w:r w:rsidR="000739D5">
          <w:rPr>
            <w:noProof/>
            <w:sz w:val="24"/>
          </w:rPr>
          <w:fldChar w:fldCharType="begin"/>
        </w:r>
        <w:r w:rsidR="000739D5">
          <w:rPr>
            <w:noProof/>
            <w:sz w:val="24"/>
          </w:rPr>
          <w:instrText xml:space="preserve"> PAGEREF _Toc124325899 \h </w:instrText>
        </w:r>
        <w:r w:rsidR="000739D5">
          <w:rPr>
            <w:noProof/>
            <w:sz w:val="24"/>
          </w:rPr>
        </w:r>
        <w:r w:rsidR="000739D5">
          <w:rPr>
            <w:noProof/>
            <w:sz w:val="24"/>
          </w:rPr>
          <w:fldChar w:fldCharType="separate"/>
        </w:r>
        <w:r w:rsidR="000A31DB">
          <w:rPr>
            <w:noProof/>
            <w:sz w:val="24"/>
          </w:rPr>
          <w:t>41</w:t>
        </w:r>
        <w:r w:rsidR="000739D5">
          <w:rPr>
            <w:noProof/>
            <w:sz w:val="24"/>
          </w:rPr>
          <w:fldChar w:fldCharType="end"/>
        </w:r>
      </w:hyperlink>
    </w:p>
    <w:p w14:paraId="6612761E" w14:textId="2E0E9238" w:rsidR="001A6E24" w:rsidRDefault="00EA1F81">
      <w:pPr>
        <w:pStyle w:val="23"/>
        <w:tabs>
          <w:tab w:val="right" w:leader="dot" w:pos="8494"/>
        </w:tabs>
        <w:spacing w:line="360" w:lineRule="auto"/>
        <w:rPr>
          <w:noProof/>
          <w:sz w:val="24"/>
        </w:rPr>
      </w:pPr>
      <w:hyperlink w:anchor="_Toc124325900" w:history="1">
        <w:r w:rsidR="000739D5">
          <w:rPr>
            <w:rStyle w:val="af6"/>
            <w:rFonts w:hAnsi="宋体" w:hint="eastAsia"/>
            <w:noProof/>
            <w:sz w:val="24"/>
          </w:rPr>
          <w:t>十六、托管协议的变更、终止与基金财产的清算</w:t>
        </w:r>
        <w:r w:rsidR="000739D5">
          <w:rPr>
            <w:noProof/>
            <w:sz w:val="24"/>
          </w:rPr>
          <w:tab/>
        </w:r>
        <w:r w:rsidR="000739D5">
          <w:rPr>
            <w:noProof/>
            <w:sz w:val="24"/>
          </w:rPr>
          <w:fldChar w:fldCharType="begin"/>
        </w:r>
        <w:r w:rsidR="000739D5">
          <w:rPr>
            <w:noProof/>
            <w:sz w:val="24"/>
          </w:rPr>
          <w:instrText xml:space="preserve"> PAGEREF _Toc124325900 \h </w:instrText>
        </w:r>
        <w:r w:rsidR="000739D5">
          <w:rPr>
            <w:noProof/>
            <w:sz w:val="24"/>
          </w:rPr>
        </w:r>
        <w:r w:rsidR="000739D5">
          <w:rPr>
            <w:noProof/>
            <w:sz w:val="24"/>
          </w:rPr>
          <w:fldChar w:fldCharType="separate"/>
        </w:r>
        <w:r w:rsidR="000A31DB">
          <w:rPr>
            <w:noProof/>
            <w:sz w:val="24"/>
          </w:rPr>
          <w:t>42</w:t>
        </w:r>
        <w:r w:rsidR="000739D5">
          <w:rPr>
            <w:noProof/>
            <w:sz w:val="24"/>
          </w:rPr>
          <w:fldChar w:fldCharType="end"/>
        </w:r>
      </w:hyperlink>
    </w:p>
    <w:p w14:paraId="6D4A3F34" w14:textId="5C8C5461" w:rsidR="001A6E24" w:rsidRDefault="00EA1F81">
      <w:pPr>
        <w:pStyle w:val="23"/>
        <w:tabs>
          <w:tab w:val="right" w:leader="dot" w:pos="8494"/>
        </w:tabs>
        <w:spacing w:line="360" w:lineRule="auto"/>
        <w:rPr>
          <w:noProof/>
          <w:sz w:val="24"/>
        </w:rPr>
      </w:pPr>
      <w:hyperlink w:anchor="_Toc124325901" w:history="1">
        <w:r w:rsidR="000739D5">
          <w:rPr>
            <w:rStyle w:val="af6"/>
            <w:rFonts w:hAnsi="宋体" w:hint="eastAsia"/>
            <w:noProof/>
            <w:sz w:val="24"/>
          </w:rPr>
          <w:t>十七、违约责任</w:t>
        </w:r>
        <w:r w:rsidR="000739D5">
          <w:rPr>
            <w:noProof/>
            <w:sz w:val="24"/>
          </w:rPr>
          <w:tab/>
        </w:r>
        <w:r w:rsidR="000739D5">
          <w:rPr>
            <w:noProof/>
            <w:sz w:val="24"/>
          </w:rPr>
          <w:fldChar w:fldCharType="begin"/>
        </w:r>
        <w:r w:rsidR="000739D5">
          <w:rPr>
            <w:noProof/>
            <w:sz w:val="24"/>
          </w:rPr>
          <w:instrText xml:space="preserve"> PAGEREF _Toc124325901 \h </w:instrText>
        </w:r>
        <w:r w:rsidR="000739D5">
          <w:rPr>
            <w:noProof/>
            <w:sz w:val="24"/>
          </w:rPr>
        </w:r>
        <w:r w:rsidR="000739D5">
          <w:rPr>
            <w:noProof/>
            <w:sz w:val="24"/>
          </w:rPr>
          <w:fldChar w:fldCharType="separate"/>
        </w:r>
        <w:r w:rsidR="000A31DB">
          <w:rPr>
            <w:noProof/>
            <w:sz w:val="24"/>
          </w:rPr>
          <w:t>44</w:t>
        </w:r>
        <w:r w:rsidR="000739D5">
          <w:rPr>
            <w:noProof/>
            <w:sz w:val="24"/>
          </w:rPr>
          <w:fldChar w:fldCharType="end"/>
        </w:r>
      </w:hyperlink>
    </w:p>
    <w:p w14:paraId="5467AAB8" w14:textId="26FB5477" w:rsidR="001A6E24" w:rsidRDefault="00EA1F81">
      <w:pPr>
        <w:pStyle w:val="23"/>
        <w:tabs>
          <w:tab w:val="right" w:leader="dot" w:pos="8494"/>
        </w:tabs>
        <w:spacing w:line="360" w:lineRule="auto"/>
        <w:rPr>
          <w:noProof/>
          <w:sz w:val="24"/>
        </w:rPr>
      </w:pPr>
      <w:hyperlink w:anchor="_Toc124325902" w:history="1">
        <w:r w:rsidR="000739D5">
          <w:rPr>
            <w:rStyle w:val="af6"/>
            <w:rFonts w:hAnsi="宋体" w:hint="eastAsia"/>
            <w:noProof/>
            <w:sz w:val="24"/>
          </w:rPr>
          <w:t>十八、争议解决方式</w:t>
        </w:r>
        <w:r w:rsidR="000739D5">
          <w:rPr>
            <w:noProof/>
            <w:sz w:val="24"/>
          </w:rPr>
          <w:tab/>
        </w:r>
        <w:r w:rsidR="000739D5">
          <w:rPr>
            <w:noProof/>
            <w:sz w:val="24"/>
          </w:rPr>
          <w:fldChar w:fldCharType="begin"/>
        </w:r>
        <w:r w:rsidR="000739D5">
          <w:rPr>
            <w:noProof/>
            <w:sz w:val="24"/>
          </w:rPr>
          <w:instrText xml:space="preserve"> PAGEREF _Toc124325902 \h </w:instrText>
        </w:r>
        <w:r w:rsidR="000739D5">
          <w:rPr>
            <w:noProof/>
            <w:sz w:val="24"/>
          </w:rPr>
        </w:r>
        <w:r w:rsidR="000739D5">
          <w:rPr>
            <w:noProof/>
            <w:sz w:val="24"/>
          </w:rPr>
          <w:fldChar w:fldCharType="separate"/>
        </w:r>
        <w:r w:rsidR="000A31DB">
          <w:rPr>
            <w:noProof/>
            <w:sz w:val="24"/>
          </w:rPr>
          <w:t>45</w:t>
        </w:r>
        <w:r w:rsidR="000739D5">
          <w:rPr>
            <w:noProof/>
            <w:sz w:val="24"/>
          </w:rPr>
          <w:fldChar w:fldCharType="end"/>
        </w:r>
      </w:hyperlink>
    </w:p>
    <w:p w14:paraId="280D465D" w14:textId="415CCD35" w:rsidR="001A6E24" w:rsidRDefault="00EA1F81">
      <w:pPr>
        <w:pStyle w:val="23"/>
        <w:tabs>
          <w:tab w:val="right" w:leader="dot" w:pos="8494"/>
        </w:tabs>
        <w:spacing w:line="360" w:lineRule="auto"/>
        <w:rPr>
          <w:noProof/>
          <w:sz w:val="24"/>
        </w:rPr>
      </w:pPr>
      <w:hyperlink w:anchor="_Toc124325903" w:history="1">
        <w:r w:rsidR="000739D5">
          <w:rPr>
            <w:rStyle w:val="af6"/>
            <w:rFonts w:hAnsi="宋体" w:hint="eastAsia"/>
            <w:noProof/>
            <w:sz w:val="24"/>
          </w:rPr>
          <w:t>十九、托管协议的效力</w:t>
        </w:r>
        <w:r w:rsidR="000739D5">
          <w:rPr>
            <w:noProof/>
            <w:sz w:val="24"/>
          </w:rPr>
          <w:tab/>
        </w:r>
        <w:r w:rsidR="000739D5">
          <w:rPr>
            <w:noProof/>
            <w:sz w:val="24"/>
          </w:rPr>
          <w:fldChar w:fldCharType="begin"/>
        </w:r>
        <w:r w:rsidR="000739D5">
          <w:rPr>
            <w:noProof/>
            <w:sz w:val="24"/>
          </w:rPr>
          <w:instrText xml:space="preserve"> PAGEREF _Toc124325903 \h </w:instrText>
        </w:r>
        <w:r w:rsidR="000739D5">
          <w:rPr>
            <w:noProof/>
            <w:sz w:val="24"/>
          </w:rPr>
        </w:r>
        <w:r w:rsidR="000739D5">
          <w:rPr>
            <w:noProof/>
            <w:sz w:val="24"/>
          </w:rPr>
          <w:fldChar w:fldCharType="separate"/>
        </w:r>
        <w:r w:rsidR="000A31DB">
          <w:rPr>
            <w:noProof/>
            <w:sz w:val="24"/>
          </w:rPr>
          <w:t>46</w:t>
        </w:r>
        <w:r w:rsidR="000739D5">
          <w:rPr>
            <w:noProof/>
            <w:sz w:val="24"/>
          </w:rPr>
          <w:fldChar w:fldCharType="end"/>
        </w:r>
      </w:hyperlink>
    </w:p>
    <w:p w14:paraId="20511862" w14:textId="749AD8C4" w:rsidR="001A6E24" w:rsidRDefault="00EA1F81">
      <w:pPr>
        <w:pStyle w:val="23"/>
        <w:tabs>
          <w:tab w:val="right" w:leader="dot" w:pos="8494"/>
        </w:tabs>
        <w:spacing w:line="360" w:lineRule="auto"/>
        <w:rPr>
          <w:noProof/>
          <w:sz w:val="24"/>
        </w:rPr>
      </w:pPr>
      <w:hyperlink w:anchor="_Toc124325904" w:history="1">
        <w:r w:rsidR="000739D5">
          <w:rPr>
            <w:rStyle w:val="af6"/>
            <w:rFonts w:hAnsi="宋体" w:hint="eastAsia"/>
            <w:noProof/>
            <w:sz w:val="24"/>
          </w:rPr>
          <w:t>二十、其他事项</w:t>
        </w:r>
        <w:r w:rsidR="000739D5">
          <w:rPr>
            <w:noProof/>
            <w:sz w:val="24"/>
          </w:rPr>
          <w:tab/>
        </w:r>
        <w:r w:rsidR="000739D5">
          <w:rPr>
            <w:noProof/>
            <w:sz w:val="24"/>
          </w:rPr>
          <w:fldChar w:fldCharType="begin"/>
        </w:r>
        <w:r w:rsidR="000739D5">
          <w:rPr>
            <w:noProof/>
            <w:sz w:val="24"/>
          </w:rPr>
          <w:instrText xml:space="preserve"> PAGEREF _Toc124325904 \h </w:instrText>
        </w:r>
        <w:r w:rsidR="000739D5">
          <w:rPr>
            <w:noProof/>
            <w:sz w:val="24"/>
          </w:rPr>
        </w:r>
        <w:r w:rsidR="000739D5">
          <w:rPr>
            <w:noProof/>
            <w:sz w:val="24"/>
          </w:rPr>
          <w:fldChar w:fldCharType="separate"/>
        </w:r>
        <w:r w:rsidR="000A31DB">
          <w:rPr>
            <w:noProof/>
            <w:sz w:val="24"/>
          </w:rPr>
          <w:t>47</w:t>
        </w:r>
        <w:r w:rsidR="000739D5">
          <w:rPr>
            <w:noProof/>
            <w:sz w:val="24"/>
          </w:rPr>
          <w:fldChar w:fldCharType="end"/>
        </w:r>
      </w:hyperlink>
    </w:p>
    <w:p w14:paraId="62211CB9" w14:textId="769F01AA" w:rsidR="001A6E24" w:rsidRDefault="00EA1F81">
      <w:pPr>
        <w:pStyle w:val="23"/>
        <w:tabs>
          <w:tab w:val="right" w:leader="dot" w:pos="8494"/>
        </w:tabs>
        <w:spacing w:line="360" w:lineRule="auto"/>
        <w:rPr>
          <w:noProof/>
          <w:sz w:val="24"/>
        </w:rPr>
      </w:pPr>
      <w:hyperlink w:anchor="_Toc124325905" w:history="1">
        <w:r w:rsidR="000739D5">
          <w:rPr>
            <w:rStyle w:val="af6"/>
            <w:rFonts w:hAnsi="宋体" w:hint="eastAsia"/>
            <w:noProof/>
            <w:sz w:val="24"/>
          </w:rPr>
          <w:t>二十一、托管协议的签订</w:t>
        </w:r>
        <w:r w:rsidR="000739D5">
          <w:rPr>
            <w:noProof/>
            <w:sz w:val="24"/>
          </w:rPr>
          <w:tab/>
        </w:r>
        <w:r w:rsidR="000739D5">
          <w:rPr>
            <w:noProof/>
            <w:sz w:val="24"/>
          </w:rPr>
          <w:fldChar w:fldCharType="begin"/>
        </w:r>
        <w:r w:rsidR="000739D5">
          <w:rPr>
            <w:noProof/>
            <w:sz w:val="24"/>
          </w:rPr>
          <w:instrText xml:space="preserve"> PAGEREF _Toc124325905 \h </w:instrText>
        </w:r>
        <w:r w:rsidR="000739D5">
          <w:rPr>
            <w:noProof/>
            <w:sz w:val="24"/>
          </w:rPr>
        </w:r>
        <w:r w:rsidR="000739D5">
          <w:rPr>
            <w:noProof/>
            <w:sz w:val="24"/>
          </w:rPr>
          <w:fldChar w:fldCharType="separate"/>
        </w:r>
        <w:r w:rsidR="000A31DB">
          <w:rPr>
            <w:noProof/>
            <w:sz w:val="24"/>
          </w:rPr>
          <w:t>48</w:t>
        </w:r>
        <w:r w:rsidR="000739D5">
          <w:rPr>
            <w:noProof/>
            <w:sz w:val="24"/>
          </w:rPr>
          <w:fldChar w:fldCharType="end"/>
        </w:r>
      </w:hyperlink>
    </w:p>
    <w:p w14:paraId="28054774" w14:textId="77777777" w:rsidR="001A6E24" w:rsidRDefault="000739D5">
      <w:pPr>
        <w:spacing w:line="360" w:lineRule="auto"/>
        <w:rPr>
          <w:kern w:val="0"/>
          <w:sz w:val="24"/>
        </w:rPr>
        <w:sectPr w:rsidR="001A6E24">
          <w:headerReference w:type="default" r:id="rId10"/>
          <w:pgSz w:w="11906" w:h="16838"/>
          <w:pgMar w:top="1418" w:right="1701" w:bottom="1418" w:left="1701" w:header="851" w:footer="992" w:gutter="0"/>
          <w:cols w:space="425"/>
          <w:docGrid w:type="lines" w:linePitch="312"/>
        </w:sectPr>
      </w:pPr>
      <w:r>
        <w:rPr>
          <w:sz w:val="24"/>
        </w:rPr>
        <w:fldChar w:fldCharType="end"/>
      </w:r>
    </w:p>
    <w:p w14:paraId="6D92F824" w14:textId="7D1CD771" w:rsidR="001A6E24" w:rsidRDefault="000739D5">
      <w:pPr>
        <w:widowControl/>
        <w:adjustRightInd w:val="0"/>
        <w:snapToGrid w:val="0"/>
        <w:spacing w:beforeLines="100" w:before="312" w:line="360" w:lineRule="auto"/>
        <w:ind w:firstLineChars="200" w:firstLine="480"/>
        <w:rPr>
          <w:kern w:val="0"/>
          <w:sz w:val="24"/>
        </w:rPr>
      </w:pPr>
      <w:r>
        <w:rPr>
          <w:rFonts w:hint="eastAsia"/>
          <w:kern w:val="0"/>
          <w:sz w:val="24"/>
        </w:rPr>
        <w:lastRenderedPageBreak/>
        <w:t>鉴于</w:t>
      </w:r>
      <w:r>
        <w:rPr>
          <w:rFonts w:cs="Arial" w:hint="eastAsia"/>
          <w:sz w:val="24"/>
        </w:rPr>
        <w:t>融通</w:t>
      </w:r>
      <w:r>
        <w:rPr>
          <w:rFonts w:hint="eastAsia"/>
          <w:kern w:val="0"/>
          <w:sz w:val="24"/>
        </w:rPr>
        <w:t>基金管理有限公司系一家依照中国法律合法成立并有效存续的有限责任公司，按照相关法律法规的规定具备担任基金管理人的资格和能力，拟募集发行</w:t>
      </w:r>
      <w:proofErr w:type="gramStart"/>
      <w:r>
        <w:rPr>
          <w:rFonts w:cs="Arial" w:hint="eastAsia"/>
          <w:kern w:val="0"/>
          <w:sz w:val="24"/>
        </w:rPr>
        <w:t>融通央企精选</w:t>
      </w:r>
      <w:proofErr w:type="gramEnd"/>
      <w:r>
        <w:rPr>
          <w:rFonts w:cs="Arial" w:hint="eastAsia"/>
          <w:kern w:val="0"/>
          <w:sz w:val="24"/>
        </w:rPr>
        <w:t>混合型证券投资基金</w:t>
      </w:r>
      <w:r>
        <w:rPr>
          <w:rFonts w:hint="eastAsia"/>
          <w:kern w:val="0"/>
          <w:sz w:val="24"/>
        </w:rPr>
        <w:t>；</w:t>
      </w:r>
    </w:p>
    <w:p w14:paraId="3A46767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鉴于中国建设银行股份有限公司系一家依照中国法律合法成立并有效存续的银行，按照相关法律法规的规定具备担任基金托管人的资格和能力；</w:t>
      </w:r>
    </w:p>
    <w:p w14:paraId="3C3B7099" w14:textId="5620ADBD" w:rsidR="001A6E24" w:rsidRDefault="000739D5">
      <w:pPr>
        <w:widowControl/>
        <w:adjustRightInd w:val="0"/>
        <w:snapToGrid w:val="0"/>
        <w:spacing w:line="360" w:lineRule="auto"/>
        <w:ind w:firstLineChars="200" w:firstLine="480"/>
        <w:rPr>
          <w:kern w:val="0"/>
          <w:sz w:val="24"/>
        </w:rPr>
      </w:pPr>
      <w:r>
        <w:rPr>
          <w:rFonts w:hint="eastAsia"/>
          <w:kern w:val="0"/>
          <w:sz w:val="24"/>
        </w:rPr>
        <w:t>鉴于</w:t>
      </w:r>
      <w:r>
        <w:rPr>
          <w:rFonts w:cs="Arial" w:hint="eastAsia"/>
          <w:sz w:val="24"/>
        </w:rPr>
        <w:t>融通</w:t>
      </w:r>
      <w:r>
        <w:rPr>
          <w:rFonts w:hint="eastAsia"/>
          <w:kern w:val="0"/>
          <w:sz w:val="24"/>
        </w:rPr>
        <w:t>基金管理有限公司拟担任</w:t>
      </w:r>
      <w:proofErr w:type="gramStart"/>
      <w:r>
        <w:rPr>
          <w:rFonts w:cs="Arial" w:hint="eastAsia"/>
          <w:sz w:val="24"/>
        </w:rPr>
        <w:t>融通央企精选</w:t>
      </w:r>
      <w:proofErr w:type="gramEnd"/>
      <w:r>
        <w:rPr>
          <w:rFonts w:cs="Arial" w:hint="eastAsia"/>
          <w:sz w:val="24"/>
        </w:rPr>
        <w:t>混合型证券投资基金</w:t>
      </w:r>
      <w:r>
        <w:rPr>
          <w:rFonts w:hint="eastAsia"/>
          <w:kern w:val="0"/>
          <w:sz w:val="24"/>
        </w:rPr>
        <w:t>的基金管理人，中国建设银行股份有限公司拟担任</w:t>
      </w:r>
      <w:proofErr w:type="gramStart"/>
      <w:r>
        <w:rPr>
          <w:rFonts w:cs="Arial" w:hint="eastAsia"/>
          <w:sz w:val="24"/>
        </w:rPr>
        <w:t>融通央企精选</w:t>
      </w:r>
      <w:proofErr w:type="gramEnd"/>
      <w:r>
        <w:rPr>
          <w:rFonts w:cs="Arial" w:hint="eastAsia"/>
          <w:sz w:val="24"/>
        </w:rPr>
        <w:t>混合型证券投资基金</w:t>
      </w:r>
      <w:r>
        <w:rPr>
          <w:rFonts w:hint="eastAsia"/>
          <w:kern w:val="0"/>
          <w:sz w:val="24"/>
        </w:rPr>
        <w:t>的基金托管人；</w:t>
      </w:r>
    </w:p>
    <w:p w14:paraId="4F5B6E5B" w14:textId="3EB60BB8" w:rsidR="001A6E24" w:rsidRDefault="000739D5">
      <w:pPr>
        <w:widowControl/>
        <w:adjustRightInd w:val="0"/>
        <w:snapToGrid w:val="0"/>
        <w:spacing w:line="360" w:lineRule="auto"/>
        <w:ind w:firstLineChars="200" w:firstLine="480"/>
        <w:rPr>
          <w:kern w:val="0"/>
          <w:sz w:val="24"/>
        </w:rPr>
      </w:pPr>
      <w:r>
        <w:rPr>
          <w:rFonts w:hint="eastAsia"/>
          <w:kern w:val="0"/>
          <w:sz w:val="24"/>
        </w:rPr>
        <w:t>为明确</w:t>
      </w:r>
      <w:proofErr w:type="gramStart"/>
      <w:r>
        <w:rPr>
          <w:rFonts w:cs="Arial" w:hint="eastAsia"/>
          <w:sz w:val="24"/>
        </w:rPr>
        <w:t>融通央企精选</w:t>
      </w:r>
      <w:proofErr w:type="gramEnd"/>
      <w:r>
        <w:rPr>
          <w:rFonts w:cs="Arial" w:hint="eastAsia"/>
          <w:sz w:val="24"/>
        </w:rPr>
        <w:t>混合型证券投资基金</w:t>
      </w:r>
      <w:r>
        <w:rPr>
          <w:rFonts w:hint="eastAsia"/>
          <w:kern w:val="0"/>
          <w:sz w:val="24"/>
        </w:rPr>
        <w:t>的基金管理人和基金托管人之间的权利义务关系，特制订本托管协议；</w:t>
      </w:r>
    </w:p>
    <w:p w14:paraId="01A56B8F" w14:textId="68EC6670" w:rsidR="001A6E24" w:rsidRDefault="000739D5">
      <w:pPr>
        <w:widowControl/>
        <w:spacing w:line="360" w:lineRule="auto"/>
        <w:ind w:firstLineChars="200" w:firstLine="480"/>
        <w:rPr>
          <w:kern w:val="0"/>
          <w:sz w:val="24"/>
          <w:lang w:val="en-GB"/>
        </w:rPr>
      </w:pPr>
      <w:r>
        <w:rPr>
          <w:rFonts w:hint="eastAsia"/>
          <w:kern w:val="0"/>
          <w:sz w:val="24"/>
          <w:lang w:val="en-GB"/>
        </w:rPr>
        <w:t>除非另有约定，</w:t>
      </w:r>
      <w:r>
        <w:rPr>
          <w:rFonts w:cs="Arial" w:hint="eastAsia"/>
          <w:kern w:val="0"/>
          <w:sz w:val="24"/>
          <w:lang w:val="en-GB"/>
        </w:rPr>
        <w:t>《</w:t>
      </w:r>
      <w:r>
        <w:rPr>
          <w:rFonts w:cs="Arial" w:hint="eastAsia"/>
          <w:sz w:val="24"/>
        </w:rPr>
        <w:t>融通央企精选混合型证券投资基金</w:t>
      </w:r>
      <w:r>
        <w:rPr>
          <w:rFonts w:cs="Arial" w:hint="eastAsia"/>
          <w:kern w:val="0"/>
          <w:sz w:val="24"/>
          <w:lang w:val="en-GB"/>
        </w:rPr>
        <w:t>基金合同》（</w:t>
      </w:r>
      <w:r>
        <w:rPr>
          <w:rFonts w:hint="eastAsia"/>
          <w:kern w:val="0"/>
          <w:sz w:val="24"/>
          <w:lang w:val="en-GB"/>
        </w:rPr>
        <w:t>以下简称“《基金合同》”</w:t>
      </w:r>
      <w:r>
        <w:rPr>
          <w:rFonts w:cs="Arial" w:hint="eastAsia"/>
          <w:kern w:val="0"/>
          <w:sz w:val="24"/>
          <w:lang w:val="en-GB"/>
        </w:rPr>
        <w:t>）</w:t>
      </w:r>
      <w:r>
        <w:rPr>
          <w:rFonts w:hint="eastAsia"/>
          <w:kern w:val="0"/>
          <w:sz w:val="24"/>
          <w:lang w:val="en-GB"/>
        </w:rPr>
        <w:t>中定义的术语在用于本托管协议时应具有相同的含义；若有抵触应以《基金合同》为准，并依其</w:t>
      </w:r>
      <w:r>
        <w:rPr>
          <w:rFonts w:hint="eastAsia"/>
          <w:kern w:val="0"/>
          <w:sz w:val="24"/>
        </w:rPr>
        <w:t>条款</w:t>
      </w:r>
      <w:r>
        <w:rPr>
          <w:rFonts w:hint="eastAsia"/>
          <w:kern w:val="0"/>
          <w:sz w:val="24"/>
          <w:lang w:val="en-GB"/>
        </w:rPr>
        <w:t>解释。</w:t>
      </w:r>
      <w:bookmarkStart w:id="4" w:name="_Toc124325885"/>
    </w:p>
    <w:p w14:paraId="421BFFE7" w14:textId="76F44E35" w:rsidR="001A6E24" w:rsidRDefault="000739D5">
      <w:pPr>
        <w:widowControl/>
        <w:adjustRightInd w:val="0"/>
        <w:spacing w:line="360" w:lineRule="auto"/>
        <w:ind w:firstLineChars="200" w:firstLine="480"/>
        <w:rPr>
          <w:color w:val="000000"/>
          <w:kern w:val="0"/>
          <w:sz w:val="24"/>
        </w:rPr>
      </w:pPr>
      <w:r>
        <w:rPr>
          <w:rFonts w:hint="eastAsia"/>
          <w:color w:val="000000"/>
          <w:kern w:val="0"/>
          <w:sz w:val="24"/>
        </w:rPr>
        <w:t>若本基金实施</w:t>
      </w:r>
      <w:proofErr w:type="gramStart"/>
      <w:r>
        <w:rPr>
          <w:rFonts w:hint="eastAsia"/>
          <w:color w:val="000000"/>
          <w:kern w:val="0"/>
          <w:sz w:val="24"/>
        </w:rPr>
        <w:t>侧袋机制</w:t>
      </w:r>
      <w:proofErr w:type="gramEnd"/>
      <w:r>
        <w:rPr>
          <w:rFonts w:hint="eastAsia"/>
          <w:color w:val="000000"/>
          <w:kern w:val="0"/>
          <w:sz w:val="24"/>
        </w:rPr>
        <w:t>的，</w:t>
      </w:r>
      <w:proofErr w:type="gramStart"/>
      <w:r>
        <w:rPr>
          <w:rFonts w:hint="eastAsia"/>
          <w:color w:val="000000"/>
          <w:kern w:val="0"/>
          <w:sz w:val="24"/>
        </w:rPr>
        <w:t>侧袋机制</w:t>
      </w:r>
      <w:proofErr w:type="gramEnd"/>
      <w:r>
        <w:rPr>
          <w:rFonts w:hint="eastAsia"/>
          <w:color w:val="000000"/>
          <w:kern w:val="0"/>
          <w:sz w:val="24"/>
        </w:rPr>
        <w:t>实施期间的相关安排见《基金合同》和招募说明书的规定。</w:t>
      </w:r>
    </w:p>
    <w:p w14:paraId="4735082D" w14:textId="77777777" w:rsidR="001A6E24" w:rsidRDefault="000739D5">
      <w:pPr>
        <w:widowControl/>
        <w:spacing w:line="360" w:lineRule="auto"/>
        <w:ind w:firstLineChars="200" w:firstLine="600"/>
        <w:jc w:val="left"/>
        <w:rPr>
          <w:rFonts w:eastAsia="黑体"/>
          <w:b/>
          <w:kern w:val="0"/>
          <w:sz w:val="30"/>
          <w:szCs w:val="20"/>
        </w:rPr>
      </w:pPr>
      <w:r>
        <w:rPr>
          <w:sz w:val="30"/>
        </w:rPr>
        <w:br w:type="page"/>
      </w:r>
    </w:p>
    <w:p w14:paraId="588781AF" w14:textId="77777777" w:rsidR="001A6E24" w:rsidRDefault="000739D5">
      <w:pPr>
        <w:pStyle w:val="2"/>
        <w:spacing w:line="360" w:lineRule="auto"/>
        <w:jc w:val="center"/>
        <w:rPr>
          <w:rFonts w:ascii="Times New Roman" w:hAnsi="Times New Roman"/>
          <w:sz w:val="30"/>
        </w:rPr>
      </w:pPr>
      <w:r>
        <w:rPr>
          <w:rFonts w:ascii="Times New Roman" w:hAnsi="Times New Roman" w:hint="eastAsia"/>
          <w:sz w:val="30"/>
        </w:rPr>
        <w:lastRenderedPageBreak/>
        <w:t>一、基金托管协议当事人</w:t>
      </w:r>
      <w:bookmarkEnd w:id="4"/>
    </w:p>
    <w:p w14:paraId="6187008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（一）基金管理人</w:t>
      </w:r>
    </w:p>
    <w:p w14:paraId="132BE86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名称：融通基金管理有限公司</w:t>
      </w:r>
    </w:p>
    <w:p w14:paraId="167E8099" w14:textId="3B98407F" w:rsidR="001A6E24" w:rsidRDefault="000739D5">
      <w:pPr>
        <w:widowControl/>
        <w:adjustRightInd w:val="0"/>
        <w:snapToGrid w:val="0"/>
        <w:spacing w:line="360" w:lineRule="auto"/>
        <w:ind w:firstLineChars="200" w:firstLine="480"/>
        <w:rPr>
          <w:kern w:val="0"/>
          <w:sz w:val="24"/>
        </w:rPr>
      </w:pPr>
      <w:r>
        <w:rPr>
          <w:rFonts w:hint="eastAsia"/>
          <w:kern w:val="0"/>
          <w:sz w:val="24"/>
        </w:rPr>
        <w:t>注册地址：</w:t>
      </w:r>
      <w:r w:rsidR="00C16F69" w:rsidRPr="00C16F69">
        <w:rPr>
          <w:rFonts w:hint="eastAsia"/>
          <w:kern w:val="0"/>
          <w:sz w:val="24"/>
        </w:rPr>
        <w:t>深圳市南山区粤海</w:t>
      </w:r>
      <w:proofErr w:type="gramStart"/>
      <w:r w:rsidR="00C16F69" w:rsidRPr="00C16F69">
        <w:rPr>
          <w:rFonts w:hint="eastAsia"/>
          <w:kern w:val="0"/>
          <w:sz w:val="24"/>
        </w:rPr>
        <w:t>街道海珠社区海</w:t>
      </w:r>
      <w:proofErr w:type="gramEnd"/>
      <w:r w:rsidR="00C16F69" w:rsidRPr="00C16F69">
        <w:rPr>
          <w:rFonts w:hint="eastAsia"/>
          <w:kern w:val="0"/>
          <w:sz w:val="24"/>
        </w:rPr>
        <w:t>德三道</w:t>
      </w:r>
      <w:r w:rsidR="00C16F69" w:rsidRPr="00C16F69">
        <w:rPr>
          <w:rFonts w:hint="eastAsia"/>
          <w:kern w:val="0"/>
          <w:sz w:val="24"/>
        </w:rPr>
        <w:t>1066</w:t>
      </w:r>
      <w:r w:rsidR="00C16F69" w:rsidRPr="00C16F69">
        <w:rPr>
          <w:rFonts w:hint="eastAsia"/>
          <w:kern w:val="0"/>
          <w:sz w:val="24"/>
        </w:rPr>
        <w:t>号深创</w:t>
      </w:r>
      <w:proofErr w:type="gramStart"/>
      <w:r w:rsidR="00C16F69" w:rsidRPr="00C16F69">
        <w:rPr>
          <w:rFonts w:hint="eastAsia"/>
          <w:kern w:val="0"/>
          <w:sz w:val="24"/>
        </w:rPr>
        <w:t>投广场</w:t>
      </w:r>
      <w:proofErr w:type="gramEnd"/>
      <w:r w:rsidR="00C16F69" w:rsidRPr="00C16F69">
        <w:rPr>
          <w:rFonts w:hint="eastAsia"/>
          <w:kern w:val="0"/>
          <w:sz w:val="24"/>
        </w:rPr>
        <w:t>41</w:t>
      </w:r>
      <w:r w:rsidR="00C16F69" w:rsidRPr="00C16F69">
        <w:rPr>
          <w:rFonts w:hint="eastAsia"/>
          <w:kern w:val="0"/>
          <w:sz w:val="24"/>
        </w:rPr>
        <w:t>层、</w:t>
      </w:r>
      <w:r w:rsidR="00C16F69" w:rsidRPr="00C16F69">
        <w:rPr>
          <w:rFonts w:hint="eastAsia"/>
          <w:kern w:val="0"/>
          <w:sz w:val="24"/>
        </w:rPr>
        <w:t>42</w:t>
      </w:r>
      <w:r w:rsidR="00C16F69" w:rsidRPr="00C16F69">
        <w:rPr>
          <w:rFonts w:hint="eastAsia"/>
          <w:kern w:val="0"/>
          <w:sz w:val="24"/>
        </w:rPr>
        <w:t>层</w:t>
      </w:r>
    </w:p>
    <w:p w14:paraId="0E181945" w14:textId="0A15ADE9" w:rsidR="001A6E24" w:rsidRDefault="000739D5">
      <w:pPr>
        <w:widowControl/>
        <w:adjustRightInd w:val="0"/>
        <w:snapToGrid w:val="0"/>
        <w:spacing w:line="360" w:lineRule="auto"/>
        <w:ind w:firstLineChars="200" w:firstLine="480"/>
        <w:rPr>
          <w:kern w:val="0"/>
          <w:sz w:val="24"/>
        </w:rPr>
      </w:pPr>
      <w:r>
        <w:rPr>
          <w:rFonts w:hint="eastAsia"/>
          <w:kern w:val="0"/>
          <w:sz w:val="24"/>
        </w:rPr>
        <w:t>办公地址：</w:t>
      </w:r>
      <w:r w:rsidR="00C93596" w:rsidRPr="00C93596">
        <w:rPr>
          <w:rFonts w:hint="eastAsia"/>
          <w:kern w:val="0"/>
          <w:sz w:val="24"/>
        </w:rPr>
        <w:t>深圳市南山区粤海</w:t>
      </w:r>
      <w:proofErr w:type="gramStart"/>
      <w:r w:rsidR="00C93596" w:rsidRPr="00C93596">
        <w:rPr>
          <w:rFonts w:hint="eastAsia"/>
          <w:kern w:val="0"/>
          <w:sz w:val="24"/>
        </w:rPr>
        <w:t>街道海珠社区海</w:t>
      </w:r>
      <w:proofErr w:type="gramEnd"/>
      <w:r w:rsidR="00C93596" w:rsidRPr="00C93596">
        <w:rPr>
          <w:rFonts w:hint="eastAsia"/>
          <w:kern w:val="0"/>
          <w:sz w:val="24"/>
        </w:rPr>
        <w:t>德三道</w:t>
      </w:r>
      <w:r w:rsidR="00C93596" w:rsidRPr="00C93596">
        <w:rPr>
          <w:rFonts w:hint="eastAsia"/>
          <w:kern w:val="0"/>
          <w:sz w:val="24"/>
        </w:rPr>
        <w:t>1066</w:t>
      </w:r>
      <w:r w:rsidR="00C93596" w:rsidRPr="00C93596">
        <w:rPr>
          <w:rFonts w:hint="eastAsia"/>
          <w:kern w:val="0"/>
          <w:sz w:val="24"/>
        </w:rPr>
        <w:t>号深创</w:t>
      </w:r>
      <w:proofErr w:type="gramStart"/>
      <w:r w:rsidR="00C93596" w:rsidRPr="00C93596">
        <w:rPr>
          <w:rFonts w:hint="eastAsia"/>
          <w:kern w:val="0"/>
          <w:sz w:val="24"/>
        </w:rPr>
        <w:t>投广场</w:t>
      </w:r>
      <w:proofErr w:type="gramEnd"/>
      <w:r w:rsidR="00C93596" w:rsidRPr="00C93596">
        <w:rPr>
          <w:rFonts w:hint="eastAsia"/>
          <w:kern w:val="0"/>
          <w:sz w:val="24"/>
        </w:rPr>
        <w:t>41</w:t>
      </w:r>
      <w:r w:rsidR="00C93596" w:rsidRPr="00C93596">
        <w:rPr>
          <w:rFonts w:hint="eastAsia"/>
          <w:kern w:val="0"/>
          <w:sz w:val="24"/>
        </w:rPr>
        <w:t>层、</w:t>
      </w:r>
      <w:r w:rsidR="00C93596" w:rsidRPr="00C93596">
        <w:rPr>
          <w:rFonts w:hint="eastAsia"/>
          <w:kern w:val="0"/>
          <w:sz w:val="24"/>
        </w:rPr>
        <w:t>42</w:t>
      </w:r>
      <w:r w:rsidR="00C93596" w:rsidRPr="00C93596">
        <w:rPr>
          <w:rFonts w:hint="eastAsia"/>
          <w:kern w:val="0"/>
          <w:sz w:val="24"/>
        </w:rPr>
        <w:t>层</w:t>
      </w:r>
    </w:p>
    <w:p w14:paraId="4D8E1B92" w14:textId="0EECB93C" w:rsidR="001A6E24" w:rsidRDefault="000739D5">
      <w:pPr>
        <w:widowControl/>
        <w:adjustRightInd w:val="0"/>
        <w:snapToGrid w:val="0"/>
        <w:spacing w:line="360" w:lineRule="auto"/>
        <w:ind w:firstLineChars="200" w:firstLine="480"/>
        <w:rPr>
          <w:kern w:val="0"/>
          <w:sz w:val="24"/>
        </w:rPr>
      </w:pPr>
      <w:r>
        <w:rPr>
          <w:rFonts w:hint="eastAsia"/>
          <w:kern w:val="0"/>
          <w:sz w:val="24"/>
        </w:rPr>
        <w:t>邮政编码：</w:t>
      </w:r>
      <w:r>
        <w:rPr>
          <w:kern w:val="0"/>
          <w:sz w:val="24"/>
        </w:rPr>
        <w:t>51805</w:t>
      </w:r>
      <w:r w:rsidR="00DF3C5E">
        <w:rPr>
          <w:kern w:val="0"/>
          <w:sz w:val="24"/>
        </w:rPr>
        <w:t>4</w:t>
      </w:r>
    </w:p>
    <w:p w14:paraId="5FC4900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法定代表人：张威</w:t>
      </w:r>
    </w:p>
    <w:p w14:paraId="12D603C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成立日期：</w:t>
      </w:r>
      <w:r>
        <w:rPr>
          <w:kern w:val="0"/>
          <w:sz w:val="24"/>
        </w:rPr>
        <w:t>2001</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rPr>
        <w:t>日</w:t>
      </w:r>
    </w:p>
    <w:p w14:paraId="375CD69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批准设立机关及批准设立文号：中国证监会</w:t>
      </w:r>
      <w:proofErr w:type="gramStart"/>
      <w:r>
        <w:rPr>
          <w:rFonts w:hint="eastAsia"/>
          <w:kern w:val="0"/>
          <w:sz w:val="24"/>
        </w:rPr>
        <w:t>证监基字</w:t>
      </w:r>
      <w:proofErr w:type="gramEnd"/>
      <w:r>
        <w:rPr>
          <w:kern w:val="0"/>
        </w:rPr>
        <w:t>[</w:t>
      </w:r>
      <w:r>
        <w:rPr>
          <w:kern w:val="0"/>
          <w:sz w:val="24"/>
        </w:rPr>
        <w:t>2001</w:t>
      </w:r>
      <w:r>
        <w:rPr>
          <w:kern w:val="0"/>
        </w:rPr>
        <w:t>]</w:t>
      </w:r>
      <w:r>
        <w:rPr>
          <w:kern w:val="0"/>
          <w:sz w:val="24"/>
        </w:rPr>
        <w:t>8</w:t>
      </w:r>
      <w:r>
        <w:rPr>
          <w:rFonts w:hint="eastAsia"/>
          <w:kern w:val="0"/>
          <w:sz w:val="24"/>
        </w:rPr>
        <w:t>号</w:t>
      </w:r>
    </w:p>
    <w:p w14:paraId="7FA0659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组织形式：有限责任公司</w:t>
      </w:r>
    </w:p>
    <w:p w14:paraId="476762A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注册资本：</w:t>
      </w:r>
      <w:r>
        <w:rPr>
          <w:kern w:val="0"/>
          <w:sz w:val="24"/>
        </w:rPr>
        <w:t>12500</w:t>
      </w:r>
      <w:r>
        <w:rPr>
          <w:rFonts w:hint="eastAsia"/>
          <w:kern w:val="0"/>
          <w:sz w:val="24"/>
        </w:rPr>
        <w:t>万元人民币</w:t>
      </w:r>
    </w:p>
    <w:p w14:paraId="644044B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存续期间：持续经营</w:t>
      </w:r>
    </w:p>
    <w:p w14:paraId="1098BBC2" w14:textId="7CBD6C54" w:rsidR="001A6E24" w:rsidRDefault="000739D5">
      <w:pPr>
        <w:widowControl/>
        <w:adjustRightInd w:val="0"/>
        <w:snapToGrid w:val="0"/>
        <w:spacing w:line="360" w:lineRule="auto"/>
        <w:ind w:firstLineChars="200" w:firstLine="480"/>
        <w:rPr>
          <w:kern w:val="0"/>
          <w:sz w:val="24"/>
        </w:rPr>
      </w:pPr>
      <w:r>
        <w:rPr>
          <w:rFonts w:hint="eastAsia"/>
          <w:kern w:val="0"/>
          <w:sz w:val="24"/>
        </w:rPr>
        <w:t>经营范围：</w:t>
      </w:r>
      <w:r w:rsidR="00A42AA8" w:rsidRPr="00A42AA8">
        <w:rPr>
          <w:rFonts w:hint="eastAsia"/>
          <w:kern w:val="0"/>
          <w:sz w:val="24"/>
        </w:rPr>
        <w:t>公开募集证券投资基金管理、私募资产管理。</w:t>
      </w:r>
    </w:p>
    <w:p w14:paraId="4E67B97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（二）基金托管人</w:t>
      </w:r>
    </w:p>
    <w:p w14:paraId="7C423E8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名称：中国建设银行股份有限公司</w:t>
      </w:r>
    </w:p>
    <w:p w14:paraId="146695E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住所：北京市西城区金融大街</w:t>
      </w:r>
      <w:r>
        <w:rPr>
          <w:kern w:val="0"/>
          <w:sz w:val="24"/>
        </w:rPr>
        <w:t>25</w:t>
      </w:r>
      <w:r>
        <w:rPr>
          <w:rFonts w:hint="eastAsia"/>
          <w:kern w:val="0"/>
          <w:sz w:val="24"/>
        </w:rPr>
        <w:t>号</w:t>
      </w:r>
    </w:p>
    <w:p w14:paraId="3E91309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办公地址：北京市西城区闹市口大街</w:t>
      </w:r>
      <w:r>
        <w:rPr>
          <w:kern w:val="0"/>
          <w:sz w:val="24"/>
        </w:rPr>
        <w:t>1</w:t>
      </w:r>
      <w:r>
        <w:rPr>
          <w:rFonts w:hint="eastAsia"/>
          <w:kern w:val="0"/>
          <w:sz w:val="24"/>
        </w:rPr>
        <w:t>号院</w:t>
      </w:r>
      <w:r>
        <w:rPr>
          <w:kern w:val="0"/>
          <w:sz w:val="24"/>
        </w:rPr>
        <w:t>1</w:t>
      </w:r>
      <w:r>
        <w:rPr>
          <w:rFonts w:hint="eastAsia"/>
          <w:kern w:val="0"/>
          <w:sz w:val="24"/>
        </w:rPr>
        <w:t>号楼</w:t>
      </w:r>
    </w:p>
    <w:p w14:paraId="63028FE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邮政编码：</w:t>
      </w:r>
      <w:r>
        <w:rPr>
          <w:kern w:val="0"/>
          <w:sz w:val="24"/>
        </w:rPr>
        <w:t>100033</w:t>
      </w:r>
    </w:p>
    <w:p w14:paraId="7457C32B" w14:textId="69F97E85" w:rsidR="001A6E24" w:rsidRDefault="000739D5">
      <w:pPr>
        <w:widowControl/>
        <w:adjustRightInd w:val="0"/>
        <w:snapToGrid w:val="0"/>
        <w:spacing w:line="360" w:lineRule="auto"/>
        <w:ind w:firstLineChars="200" w:firstLine="480"/>
        <w:rPr>
          <w:kern w:val="0"/>
          <w:sz w:val="24"/>
        </w:rPr>
      </w:pPr>
      <w:r>
        <w:rPr>
          <w:rFonts w:hint="eastAsia"/>
          <w:kern w:val="0"/>
          <w:sz w:val="24"/>
        </w:rPr>
        <w:t>法定代表人：</w:t>
      </w:r>
      <w:r w:rsidR="00D24A3E" w:rsidRPr="00D24A3E">
        <w:rPr>
          <w:rFonts w:hint="eastAsia"/>
          <w:kern w:val="0"/>
          <w:sz w:val="24"/>
        </w:rPr>
        <w:t>张金良</w:t>
      </w:r>
    </w:p>
    <w:p w14:paraId="65E74D8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成立日期：</w:t>
      </w:r>
      <w:r>
        <w:rPr>
          <w:kern w:val="0"/>
          <w:sz w:val="24"/>
        </w:rPr>
        <w:t>2004</w:t>
      </w:r>
      <w:r>
        <w:rPr>
          <w:rFonts w:hint="eastAsia"/>
          <w:kern w:val="0"/>
          <w:sz w:val="24"/>
        </w:rPr>
        <w:t>年</w:t>
      </w:r>
      <w:r>
        <w:rPr>
          <w:kern w:val="0"/>
          <w:sz w:val="24"/>
        </w:rPr>
        <w:t>09</w:t>
      </w:r>
      <w:r>
        <w:rPr>
          <w:rFonts w:hint="eastAsia"/>
          <w:kern w:val="0"/>
          <w:sz w:val="24"/>
        </w:rPr>
        <w:t>月</w:t>
      </w:r>
      <w:r>
        <w:rPr>
          <w:kern w:val="0"/>
          <w:sz w:val="24"/>
        </w:rPr>
        <w:t>17</w:t>
      </w:r>
      <w:r>
        <w:rPr>
          <w:rFonts w:hint="eastAsia"/>
          <w:kern w:val="0"/>
          <w:sz w:val="24"/>
        </w:rPr>
        <w:t>日</w:t>
      </w:r>
    </w:p>
    <w:p w14:paraId="7596B05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kern w:val="0"/>
          <w:sz w:val="24"/>
        </w:rPr>
        <w:t>[1998</w:t>
      </w:r>
      <w:bookmarkStart w:id="5" w:name="OLE_LINK3"/>
      <w:r>
        <w:rPr>
          <w:kern w:val="0"/>
          <w:sz w:val="24"/>
        </w:rPr>
        <w:t>]</w:t>
      </w:r>
      <w:bookmarkEnd w:id="5"/>
      <w:r>
        <w:rPr>
          <w:kern w:val="0"/>
          <w:sz w:val="24"/>
        </w:rPr>
        <w:t>12</w:t>
      </w:r>
      <w:r>
        <w:rPr>
          <w:rFonts w:hint="eastAsia"/>
          <w:kern w:val="0"/>
          <w:sz w:val="24"/>
        </w:rPr>
        <w:t>号</w:t>
      </w:r>
    </w:p>
    <w:p w14:paraId="30F7506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组织形式：股份有限公司</w:t>
      </w:r>
    </w:p>
    <w:p w14:paraId="1AD4106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注册资本：</w:t>
      </w:r>
      <w:proofErr w:type="gramStart"/>
      <w:r>
        <w:rPr>
          <w:rFonts w:hint="eastAsia"/>
          <w:kern w:val="0"/>
          <w:sz w:val="24"/>
        </w:rPr>
        <w:t>贰仟伍佰亿壹仟零玖拾柒万柒仟肆佰捌拾陆</w:t>
      </w:r>
      <w:proofErr w:type="gramEnd"/>
      <w:r>
        <w:rPr>
          <w:rFonts w:hint="eastAsia"/>
          <w:kern w:val="0"/>
          <w:sz w:val="24"/>
        </w:rPr>
        <w:t>元整</w:t>
      </w:r>
    </w:p>
    <w:p w14:paraId="5487085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存续期间：持续经营</w:t>
      </w:r>
    </w:p>
    <w:p w14:paraId="5B584DF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Pr>
          <w:rFonts w:hint="eastAsia"/>
          <w:kern w:val="0"/>
          <w:sz w:val="24"/>
        </w:rPr>
        <w:lastRenderedPageBreak/>
        <w:t>提供信用证服务及担保；代理收付款项及代理保险业务；提供保管箱服务；经中国银行业监督管理机构等监管部门批准的其他业务。</w:t>
      </w:r>
    </w:p>
    <w:p w14:paraId="48624C90" w14:textId="77777777" w:rsidR="001A6E24" w:rsidRDefault="000739D5">
      <w:pPr>
        <w:widowControl/>
        <w:jc w:val="left"/>
        <w:rPr>
          <w:rFonts w:eastAsia="黑体"/>
          <w:b/>
          <w:kern w:val="0"/>
          <w:sz w:val="30"/>
          <w:szCs w:val="20"/>
        </w:rPr>
      </w:pPr>
      <w:bookmarkStart w:id="6" w:name="_Toc124325886"/>
      <w:r>
        <w:rPr>
          <w:sz w:val="30"/>
        </w:rPr>
        <w:br w:type="page"/>
      </w:r>
    </w:p>
    <w:p w14:paraId="7E201370" w14:textId="77777777" w:rsidR="001A6E24" w:rsidRDefault="000739D5">
      <w:pPr>
        <w:pStyle w:val="2"/>
        <w:spacing w:line="360" w:lineRule="auto"/>
        <w:jc w:val="center"/>
        <w:rPr>
          <w:rFonts w:ascii="Times New Roman" w:hAnsi="Times New Roman"/>
          <w:sz w:val="30"/>
        </w:rPr>
      </w:pPr>
      <w:r>
        <w:rPr>
          <w:rFonts w:ascii="Times New Roman" w:hAnsi="Times New Roman" w:hint="eastAsia"/>
          <w:sz w:val="30"/>
        </w:rPr>
        <w:lastRenderedPageBreak/>
        <w:t>二、基金托管协议的依据、目的和原则</w:t>
      </w:r>
      <w:bookmarkEnd w:id="6"/>
    </w:p>
    <w:p w14:paraId="2F96BBC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（一）订立托管协议的依据</w:t>
      </w:r>
    </w:p>
    <w:p w14:paraId="44AF9B16" w14:textId="447051BD" w:rsidR="001A6E24" w:rsidRDefault="000739D5">
      <w:pPr>
        <w:widowControl/>
        <w:adjustRightInd w:val="0"/>
        <w:snapToGrid w:val="0"/>
        <w:spacing w:line="360" w:lineRule="auto"/>
        <w:ind w:firstLineChars="200" w:firstLine="480"/>
        <w:rPr>
          <w:kern w:val="0"/>
          <w:sz w:val="24"/>
        </w:rPr>
      </w:pPr>
      <w:r>
        <w:rPr>
          <w:rFonts w:hint="eastAsia"/>
          <w:kern w:val="0"/>
          <w:sz w:val="24"/>
        </w:rPr>
        <w:t>本托管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14:paraId="1FDD7F4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（二）订立托管协议的目的</w:t>
      </w:r>
    </w:p>
    <w:p w14:paraId="0F676F1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E1D07E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（三）订立托管协议的原则</w:t>
      </w:r>
    </w:p>
    <w:p w14:paraId="0AC577F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基金管理人和基金托管人本着平等自愿、诚实信用、充分保护基金份额持有人合法权益的原则，经协商一致，签订本托管协议。</w:t>
      </w:r>
    </w:p>
    <w:p w14:paraId="549753E2" w14:textId="77777777" w:rsidR="001A6E24" w:rsidRDefault="000739D5">
      <w:pPr>
        <w:widowControl/>
        <w:jc w:val="left"/>
        <w:rPr>
          <w:rFonts w:eastAsia="黑体"/>
          <w:b/>
          <w:kern w:val="0"/>
          <w:sz w:val="30"/>
          <w:szCs w:val="20"/>
        </w:rPr>
      </w:pPr>
      <w:bookmarkStart w:id="7" w:name="_Toc124325887"/>
      <w:r>
        <w:rPr>
          <w:sz w:val="30"/>
        </w:rPr>
        <w:br w:type="page"/>
      </w:r>
    </w:p>
    <w:p w14:paraId="4C79DE31" w14:textId="77777777" w:rsidR="001A6E24" w:rsidRDefault="000739D5">
      <w:pPr>
        <w:pStyle w:val="2"/>
        <w:spacing w:line="360" w:lineRule="auto"/>
        <w:jc w:val="center"/>
        <w:rPr>
          <w:rFonts w:ascii="Times New Roman" w:hAnsi="Times New Roman"/>
          <w:sz w:val="30"/>
        </w:rPr>
      </w:pPr>
      <w:r>
        <w:rPr>
          <w:rFonts w:ascii="Times New Roman" w:hAnsi="Times New Roman" w:hint="eastAsia"/>
          <w:sz w:val="30"/>
        </w:rPr>
        <w:lastRenderedPageBreak/>
        <w:t>三、基金托管人对基金管理人的业务监督和核查</w:t>
      </w:r>
      <w:bookmarkEnd w:id="7"/>
    </w:p>
    <w:p w14:paraId="7A4DD68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72B6231" w14:textId="38DA2F82" w:rsidR="001A6E24" w:rsidRDefault="000739D5">
      <w:pPr>
        <w:widowControl/>
        <w:adjustRightInd w:val="0"/>
        <w:snapToGrid w:val="0"/>
        <w:spacing w:line="360" w:lineRule="auto"/>
        <w:ind w:firstLineChars="200" w:firstLine="480"/>
        <w:rPr>
          <w:kern w:val="0"/>
          <w:sz w:val="24"/>
        </w:rPr>
      </w:pPr>
      <w:r>
        <w:rPr>
          <w:rFonts w:hint="eastAsia"/>
          <w:kern w:val="0"/>
          <w:sz w:val="24"/>
        </w:rPr>
        <w:t>本基金的投资范围主要为具有良好流动性的金融工具，包括国内依法发行上市的股票（含主板、创业板及其他</w:t>
      </w:r>
      <w:r w:rsidR="009846B4">
        <w:rPr>
          <w:rFonts w:hint="eastAsia"/>
          <w:bCs/>
          <w:sz w:val="24"/>
        </w:rPr>
        <w:t>依法发行</w:t>
      </w:r>
      <w:r>
        <w:rPr>
          <w:rFonts w:hint="eastAsia"/>
          <w:kern w:val="0"/>
          <w:sz w:val="24"/>
        </w:rPr>
        <w:t>上市的股票、存托凭证）、内地与香港股票市场交易互联互通机制允许买卖的规定范围内的香港联合交易所上市的股票（简称“港股通标的股票”）、债券（包括国债、地方政府债、金融债、企业债、公司债、次级债、可转换债券（含分离交易可转债）、可交换债券、央行票据、中期票据、短期融资</w:t>
      </w:r>
      <w:proofErr w:type="gramStart"/>
      <w:r>
        <w:rPr>
          <w:rFonts w:hint="eastAsia"/>
          <w:kern w:val="0"/>
          <w:sz w:val="24"/>
        </w:rPr>
        <w:t>券</w:t>
      </w:r>
      <w:proofErr w:type="gramEnd"/>
      <w:r>
        <w:rPr>
          <w:rFonts w:hint="eastAsia"/>
          <w:kern w:val="0"/>
          <w:sz w:val="24"/>
        </w:rPr>
        <w:t>、超短期融资</w:t>
      </w:r>
      <w:proofErr w:type="gramStart"/>
      <w:r>
        <w:rPr>
          <w:rFonts w:hint="eastAsia"/>
          <w:kern w:val="0"/>
          <w:sz w:val="24"/>
        </w:rPr>
        <w:t>券</w:t>
      </w:r>
      <w:proofErr w:type="gramEnd"/>
      <w:r>
        <w:rPr>
          <w:rFonts w:hint="eastAsia"/>
          <w:kern w:val="0"/>
          <w:sz w:val="24"/>
        </w:rPr>
        <w:t>、政府支持机构债、政府支持债券及其他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14:paraId="7662BC5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如法律法规或监管机构以后允许基金投资其他品种，基金管理人在履行适当程序后，可以将其纳入投资范围。</w:t>
      </w:r>
    </w:p>
    <w:p w14:paraId="44E0BEA2" w14:textId="3D13E083" w:rsidR="001A6E24" w:rsidRDefault="000739D5">
      <w:pPr>
        <w:widowControl/>
        <w:adjustRightInd w:val="0"/>
        <w:snapToGrid w:val="0"/>
        <w:spacing w:line="360" w:lineRule="auto"/>
        <w:ind w:firstLineChars="200" w:firstLine="480"/>
        <w:rPr>
          <w:kern w:val="0"/>
          <w:sz w:val="24"/>
        </w:rPr>
      </w:pPr>
      <w:r>
        <w:rPr>
          <w:rFonts w:hint="eastAsia"/>
          <w:kern w:val="0"/>
          <w:sz w:val="24"/>
        </w:rPr>
        <w:t>基金的投资组合比例为：本基金股票资产（</w:t>
      </w:r>
      <w:proofErr w:type="gramStart"/>
      <w:r>
        <w:rPr>
          <w:rFonts w:hint="eastAsia"/>
          <w:kern w:val="0"/>
          <w:sz w:val="24"/>
        </w:rPr>
        <w:t>含存托</w:t>
      </w:r>
      <w:proofErr w:type="gramEnd"/>
      <w:r>
        <w:rPr>
          <w:rFonts w:hint="eastAsia"/>
          <w:kern w:val="0"/>
          <w:sz w:val="24"/>
        </w:rPr>
        <w:t>凭证）占基金资产的比例为</w:t>
      </w:r>
      <w:r>
        <w:rPr>
          <w:rFonts w:hint="eastAsia"/>
          <w:kern w:val="0"/>
          <w:sz w:val="24"/>
        </w:rPr>
        <w:t>60%-95%</w:t>
      </w:r>
      <w:r>
        <w:rPr>
          <w:rFonts w:hint="eastAsia"/>
          <w:kern w:val="0"/>
          <w:sz w:val="24"/>
        </w:rPr>
        <w:t>（其中投资于港股通标的股票占本基金股票资产的比例为</w:t>
      </w:r>
      <w:r>
        <w:rPr>
          <w:rFonts w:hint="eastAsia"/>
          <w:kern w:val="0"/>
          <w:sz w:val="24"/>
        </w:rPr>
        <w:t>0%-50%</w:t>
      </w:r>
      <w:r>
        <w:rPr>
          <w:rFonts w:hint="eastAsia"/>
          <w:kern w:val="0"/>
          <w:sz w:val="24"/>
        </w:rPr>
        <w:t>）；投资于本基金界定</w:t>
      </w:r>
      <w:proofErr w:type="gramStart"/>
      <w:r>
        <w:rPr>
          <w:rFonts w:hint="eastAsia"/>
          <w:kern w:val="0"/>
          <w:sz w:val="24"/>
        </w:rPr>
        <w:t>的央企主题</w:t>
      </w:r>
      <w:proofErr w:type="gramEnd"/>
      <w:r>
        <w:rPr>
          <w:rFonts w:hint="eastAsia"/>
          <w:kern w:val="0"/>
          <w:sz w:val="24"/>
        </w:rPr>
        <w:t>相关</w:t>
      </w:r>
      <w:r w:rsidR="00B90A0B">
        <w:rPr>
          <w:rFonts w:hint="eastAsia"/>
          <w:kern w:val="0"/>
          <w:sz w:val="24"/>
        </w:rPr>
        <w:t>股票</w:t>
      </w:r>
      <w:r>
        <w:rPr>
          <w:rFonts w:hint="eastAsia"/>
          <w:kern w:val="0"/>
          <w:sz w:val="24"/>
        </w:rPr>
        <w:t>资产占非现金基金资产的比例不低于</w:t>
      </w:r>
      <w:r>
        <w:rPr>
          <w:rFonts w:hint="eastAsia"/>
          <w:kern w:val="0"/>
          <w:sz w:val="24"/>
        </w:rPr>
        <w:t>80%</w:t>
      </w:r>
      <w:r>
        <w:rPr>
          <w:rFonts w:hint="eastAsia"/>
          <w:kern w:val="0"/>
          <w:sz w:val="24"/>
        </w:rPr>
        <w:t>；本基金每个交易日日终在扣除股指期货合约和国债期货合约需缴纳的交易保证金后，持有现金或者到期日在一年以内的政府债券的比例合计不低于基金资产净值的</w:t>
      </w:r>
      <w:r>
        <w:rPr>
          <w:rFonts w:hint="eastAsia"/>
          <w:kern w:val="0"/>
          <w:sz w:val="24"/>
        </w:rPr>
        <w:t>5%</w:t>
      </w:r>
      <w:r>
        <w:rPr>
          <w:rFonts w:hint="eastAsia"/>
          <w:kern w:val="0"/>
          <w:sz w:val="24"/>
        </w:rPr>
        <w:t>，前述现金不包括结算备付金、存出保证金和应收申购款等。</w:t>
      </w:r>
    </w:p>
    <w:p w14:paraId="7CFE231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如法律法规或中国证监会变更投资品种的投资比例限制，基金管理人在履行适当程序后，可以调整上述投资品种的投资比例。</w:t>
      </w:r>
    </w:p>
    <w:p w14:paraId="3C952C2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（二）基金托管人根据有关法律法规的规定及《基金合同》的约定，对基金投资、融资比例进行监督。基金托管人按下述比例和调整期限进行监督：</w:t>
      </w:r>
    </w:p>
    <w:p w14:paraId="66F7FB10" w14:textId="0AA80B4F"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）本基金股票资产（</w:t>
      </w:r>
      <w:proofErr w:type="gramStart"/>
      <w:r>
        <w:rPr>
          <w:rFonts w:hint="eastAsia"/>
          <w:kern w:val="0"/>
          <w:sz w:val="24"/>
        </w:rPr>
        <w:t>含存托</w:t>
      </w:r>
      <w:proofErr w:type="gramEnd"/>
      <w:r>
        <w:rPr>
          <w:rFonts w:hint="eastAsia"/>
          <w:kern w:val="0"/>
          <w:sz w:val="24"/>
        </w:rPr>
        <w:t>凭证）占基金资产的比例为</w:t>
      </w:r>
      <w:r>
        <w:rPr>
          <w:rFonts w:hint="eastAsia"/>
          <w:kern w:val="0"/>
          <w:sz w:val="24"/>
        </w:rPr>
        <w:t>60%-95%</w:t>
      </w:r>
      <w:r>
        <w:rPr>
          <w:rFonts w:hint="eastAsia"/>
          <w:kern w:val="0"/>
          <w:sz w:val="24"/>
        </w:rPr>
        <w:t>（其中投资于港股通标的股票占本基金股票资产的比例为</w:t>
      </w:r>
      <w:r>
        <w:rPr>
          <w:rFonts w:hint="eastAsia"/>
          <w:kern w:val="0"/>
          <w:sz w:val="24"/>
        </w:rPr>
        <w:t>0%-50%</w:t>
      </w:r>
      <w:r>
        <w:rPr>
          <w:rFonts w:hint="eastAsia"/>
          <w:kern w:val="0"/>
          <w:sz w:val="24"/>
        </w:rPr>
        <w:t>）；本基金投资于本基金界定</w:t>
      </w:r>
      <w:proofErr w:type="gramStart"/>
      <w:r>
        <w:rPr>
          <w:rFonts w:hint="eastAsia"/>
          <w:kern w:val="0"/>
          <w:sz w:val="24"/>
        </w:rPr>
        <w:t>的央企主题</w:t>
      </w:r>
      <w:proofErr w:type="gramEnd"/>
      <w:r>
        <w:rPr>
          <w:rFonts w:hint="eastAsia"/>
          <w:kern w:val="0"/>
          <w:sz w:val="24"/>
        </w:rPr>
        <w:t>相关</w:t>
      </w:r>
      <w:r w:rsidR="00505599">
        <w:rPr>
          <w:rFonts w:hint="eastAsia"/>
          <w:kern w:val="0"/>
          <w:sz w:val="24"/>
        </w:rPr>
        <w:t>股票</w:t>
      </w:r>
      <w:r>
        <w:rPr>
          <w:rFonts w:hint="eastAsia"/>
          <w:kern w:val="0"/>
          <w:sz w:val="24"/>
        </w:rPr>
        <w:t>资产占非现金基金资产的比例不低于</w:t>
      </w:r>
      <w:r>
        <w:rPr>
          <w:rFonts w:hint="eastAsia"/>
          <w:kern w:val="0"/>
          <w:sz w:val="24"/>
        </w:rPr>
        <w:t>80%</w:t>
      </w:r>
      <w:r>
        <w:rPr>
          <w:rFonts w:hint="eastAsia"/>
          <w:kern w:val="0"/>
          <w:sz w:val="24"/>
        </w:rPr>
        <w:t>；</w:t>
      </w:r>
    </w:p>
    <w:p w14:paraId="52678E4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）本基金每个交易日日终在扣除股指期货合约和国债期货合约需缴纳的交易保证金后，持有现金或者到期日在一年以内的政府债券的比例合计不低于基金资产净值的</w:t>
      </w:r>
      <w:r>
        <w:rPr>
          <w:rFonts w:hint="eastAsia"/>
          <w:kern w:val="0"/>
          <w:sz w:val="24"/>
        </w:rPr>
        <w:t>5%</w:t>
      </w:r>
      <w:r>
        <w:rPr>
          <w:rFonts w:hint="eastAsia"/>
          <w:kern w:val="0"/>
          <w:sz w:val="24"/>
        </w:rPr>
        <w:t>，前述现金不包括结算备付金、存出保证金和应收申购款等；</w:t>
      </w:r>
    </w:p>
    <w:p w14:paraId="69C9D7C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）本基金持有一家公司发行的证券，其市值（同一家公司在境内和香港同时上市的，</w:t>
      </w:r>
      <w:r>
        <w:rPr>
          <w:rFonts w:hint="eastAsia"/>
          <w:kern w:val="0"/>
          <w:sz w:val="24"/>
        </w:rPr>
        <w:t>A+H</w:t>
      </w:r>
      <w:r>
        <w:rPr>
          <w:rFonts w:hint="eastAsia"/>
          <w:kern w:val="0"/>
          <w:sz w:val="24"/>
        </w:rPr>
        <w:t>股合计计算）不超过基金资产净值的</w:t>
      </w:r>
      <w:r>
        <w:rPr>
          <w:rFonts w:hint="eastAsia"/>
          <w:kern w:val="0"/>
          <w:sz w:val="24"/>
        </w:rPr>
        <w:t>10%</w:t>
      </w:r>
      <w:r>
        <w:rPr>
          <w:rFonts w:hint="eastAsia"/>
          <w:kern w:val="0"/>
          <w:sz w:val="24"/>
        </w:rPr>
        <w:t>；</w:t>
      </w:r>
    </w:p>
    <w:p w14:paraId="7F6746D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）本基金管理人管理的且由本基金托管人托管的全部基金持有一家公司发行的证券（同一家公司在境内和香港同时上市的，</w:t>
      </w:r>
      <w:r>
        <w:rPr>
          <w:rFonts w:hint="eastAsia"/>
          <w:kern w:val="0"/>
          <w:sz w:val="24"/>
        </w:rPr>
        <w:t>A+H</w:t>
      </w:r>
      <w:r>
        <w:rPr>
          <w:rFonts w:hint="eastAsia"/>
          <w:kern w:val="0"/>
          <w:sz w:val="24"/>
        </w:rPr>
        <w:t>股合计计算），不超过该证券的</w:t>
      </w:r>
      <w:r>
        <w:rPr>
          <w:rFonts w:hint="eastAsia"/>
          <w:kern w:val="0"/>
          <w:sz w:val="24"/>
        </w:rPr>
        <w:t>10%</w:t>
      </w:r>
      <w:r>
        <w:rPr>
          <w:rFonts w:hint="eastAsia"/>
          <w:kern w:val="0"/>
          <w:sz w:val="24"/>
        </w:rPr>
        <w:t>；</w:t>
      </w:r>
    </w:p>
    <w:p w14:paraId="3816126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）本基金投资于同一原始权益人的各类资产支持证券的比例，不得超过基金资产净值的</w:t>
      </w:r>
      <w:r>
        <w:rPr>
          <w:rFonts w:hint="eastAsia"/>
          <w:kern w:val="0"/>
          <w:sz w:val="24"/>
        </w:rPr>
        <w:t>10%</w:t>
      </w:r>
      <w:r>
        <w:rPr>
          <w:rFonts w:hint="eastAsia"/>
          <w:kern w:val="0"/>
          <w:sz w:val="24"/>
        </w:rPr>
        <w:t>；</w:t>
      </w:r>
    </w:p>
    <w:p w14:paraId="41CDDBE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）本基金持有的全部资产支持证券，其市值不得超过基金资产净值的</w:t>
      </w:r>
      <w:r>
        <w:rPr>
          <w:rFonts w:hint="eastAsia"/>
          <w:kern w:val="0"/>
          <w:sz w:val="24"/>
        </w:rPr>
        <w:t>20%</w:t>
      </w:r>
      <w:r>
        <w:rPr>
          <w:rFonts w:hint="eastAsia"/>
          <w:kern w:val="0"/>
          <w:sz w:val="24"/>
        </w:rPr>
        <w:t>；</w:t>
      </w:r>
    </w:p>
    <w:p w14:paraId="117A13D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）本基金持有的同一（指同一信用级别）资产支持证券的比例，不得超过该资产支持证券规模的</w:t>
      </w:r>
      <w:r>
        <w:rPr>
          <w:rFonts w:hint="eastAsia"/>
          <w:kern w:val="0"/>
          <w:sz w:val="24"/>
        </w:rPr>
        <w:t>10%</w:t>
      </w:r>
      <w:r>
        <w:rPr>
          <w:rFonts w:hint="eastAsia"/>
          <w:kern w:val="0"/>
          <w:sz w:val="24"/>
        </w:rPr>
        <w:t>；</w:t>
      </w:r>
    </w:p>
    <w:p w14:paraId="13591B8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）本基金管理人管理的且由本基金托管人托管的全部基金投资于同一原始权益人的各类资产支持证券，不得超过其各类资产支持证券合计规模的</w:t>
      </w:r>
      <w:r>
        <w:rPr>
          <w:rFonts w:hint="eastAsia"/>
          <w:kern w:val="0"/>
          <w:sz w:val="24"/>
        </w:rPr>
        <w:t>10%</w:t>
      </w:r>
      <w:r>
        <w:rPr>
          <w:rFonts w:hint="eastAsia"/>
          <w:kern w:val="0"/>
          <w:sz w:val="24"/>
        </w:rPr>
        <w:t>；</w:t>
      </w:r>
    </w:p>
    <w:p w14:paraId="5C81780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）本基金应投资于信用级别评级为</w:t>
      </w:r>
      <w:r>
        <w:rPr>
          <w:rFonts w:hint="eastAsia"/>
          <w:kern w:val="0"/>
          <w:sz w:val="24"/>
        </w:rPr>
        <w:t>BBB</w:t>
      </w:r>
      <w:r>
        <w:rPr>
          <w:rFonts w:hint="eastAsia"/>
          <w:kern w:val="0"/>
          <w:sz w:val="24"/>
        </w:rPr>
        <w:t>以上（含</w:t>
      </w:r>
      <w:r>
        <w:rPr>
          <w:rFonts w:hint="eastAsia"/>
          <w:kern w:val="0"/>
          <w:sz w:val="24"/>
        </w:rPr>
        <w:t>BBB</w:t>
      </w:r>
      <w:r>
        <w:rPr>
          <w:rFonts w:hint="eastAsia"/>
          <w:kern w:val="0"/>
          <w:sz w:val="24"/>
        </w:rPr>
        <w:t>）的资产支持证券。基金持有资产支持证券期间，如果其信用等级下降、不再符合投资标准，应在评级报告发布之日起</w:t>
      </w:r>
      <w:r>
        <w:rPr>
          <w:rFonts w:hint="eastAsia"/>
          <w:kern w:val="0"/>
          <w:sz w:val="24"/>
        </w:rPr>
        <w:t>3</w:t>
      </w:r>
      <w:r>
        <w:rPr>
          <w:rFonts w:hint="eastAsia"/>
          <w:kern w:val="0"/>
          <w:sz w:val="24"/>
        </w:rPr>
        <w:t>个月内予以全部卖出；</w:t>
      </w:r>
    </w:p>
    <w:p w14:paraId="6DE7C0D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10</w:t>
      </w:r>
      <w:r>
        <w:rPr>
          <w:rFonts w:hint="eastAsia"/>
          <w:kern w:val="0"/>
          <w:sz w:val="24"/>
        </w:rPr>
        <w:t>）基金财产参与股票发行申购，本基金所申报的金额不超过本基金的总资产，本基金所申报的股票数量不超过拟发行股票公司本次发行股票的总量；</w:t>
      </w:r>
    </w:p>
    <w:p w14:paraId="6EDF1AA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）本基金进入全国银行间同业市场进行债券回购的资金余额不得超过基金资产净值的</w:t>
      </w:r>
      <w:r>
        <w:rPr>
          <w:rFonts w:hint="eastAsia"/>
          <w:kern w:val="0"/>
          <w:sz w:val="24"/>
        </w:rPr>
        <w:t>40%</w:t>
      </w:r>
      <w:r>
        <w:rPr>
          <w:rFonts w:hint="eastAsia"/>
          <w:kern w:val="0"/>
          <w:sz w:val="24"/>
        </w:rPr>
        <w:t>，进入全国银行间同业市场进行债券回购的最长期限为</w:t>
      </w:r>
      <w:r>
        <w:rPr>
          <w:rFonts w:hint="eastAsia"/>
          <w:kern w:val="0"/>
          <w:sz w:val="24"/>
        </w:rPr>
        <w:t>1</w:t>
      </w:r>
      <w:r>
        <w:rPr>
          <w:rFonts w:hint="eastAsia"/>
          <w:kern w:val="0"/>
          <w:sz w:val="24"/>
        </w:rPr>
        <w:t>年，债券回购到期后不得展期；</w:t>
      </w:r>
    </w:p>
    <w:p w14:paraId="000E6B63" w14:textId="28459E52"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12</w:t>
      </w:r>
      <w:r>
        <w:rPr>
          <w:rFonts w:hint="eastAsia"/>
          <w:kern w:val="0"/>
          <w:sz w:val="24"/>
        </w:rPr>
        <w:t>）本基金持有的所有流通受限证券，其公允价值不得超过本基金资产净值的</w:t>
      </w:r>
      <w:r>
        <w:rPr>
          <w:rFonts w:hint="eastAsia"/>
          <w:kern w:val="0"/>
          <w:sz w:val="24"/>
        </w:rPr>
        <w:t>15%</w:t>
      </w:r>
      <w:r>
        <w:rPr>
          <w:rFonts w:hint="eastAsia"/>
          <w:kern w:val="0"/>
          <w:sz w:val="24"/>
        </w:rPr>
        <w:t>；本基金持有的同</w:t>
      </w:r>
      <w:proofErr w:type="gramStart"/>
      <w:r>
        <w:rPr>
          <w:rFonts w:hint="eastAsia"/>
          <w:kern w:val="0"/>
          <w:sz w:val="24"/>
        </w:rPr>
        <w:t>一流通</w:t>
      </w:r>
      <w:proofErr w:type="gramEnd"/>
      <w:r>
        <w:rPr>
          <w:rFonts w:hint="eastAsia"/>
          <w:kern w:val="0"/>
          <w:sz w:val="24"/>
        </w:rPr>
        <w:t>受限证券，其公允价值不得超过本基金资产净值的</w:t>
      </w:r>
      <w:r>
        <w:rPr>
          <w:rFonts w:hint="eastAsia"/>
          <w:kern w:val="0"/>
          <w:sz w:val="24"/>
        </w:rPr>
        <w:t>3%</w:t>
      </w:r>
      <w:r>
        <w:rPr>
          <w:rFonts w:hint="eastAsia"/>
          <w:kern w:val="0"/>
          <w:sz w:val="24"/>
        </w:rPr>
        <w:t>；</w:t>
      </w:r>
    </w:p>
    <w:p w14:paraId="443A6C0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）本基金参与股指期货交易，需遵守下列规定：</w:t>
      </w:r>
    </w:p>
    <w:p w14:paraId="104F828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）本基金在任何交易日日终，持有的买入股指期货合约价值，不得超过基金资产净值的</w:t>
      </w:r>
      <w:r>
        <w:rPr>
          <w:rFonts w:hint="eastAsia"/>
          <w:kern w:val="0"/>
          <w:sz w:val="24"/>
        </w:rPr>
        <w:t>10%</w:t>
      </w:r>
      <w:r>
        <w:rPr>
          <w:rFonts w:hint="eastAsia"/>
          <w:kern w:val="0"/>
          <w:sz w:val="24"/>
        </w:rPr>
        <w:t>；</w:t>
      </w:r>
    </w:p>
    <w:p w14:paraId="554EE2F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）本基金在任何交易日日终持有的买入股指期货合约和国债期货合约价值与有价证券市值之和不得超过基金资产净值的</w:t>
      </w:r>
      <w:r>
        <w:rPr>
          <w:rFonts w:hint="eastAsia"/>
          <w:kern w:val="0"/>
          <w:sz w:val="24"/>
        </w:rPr>
        <w:t>95%</w:t>
      </w:r>
      <w:r>
        <w:rPr>
          <w:rFonts w:hint="eastAsia"/>
          <w:kern w:val="0"/>
          <w:sz w:val="24"/>
        </w:rPr>
        <w:t>。其中，有价证券指股票、债券（不含到期日在一年以内的政府债券）、资产支持证券、买入返售金融资产（不含质押式回购）等；</w:t>
      </w:r>
    </w:p>
    <w:p w14:paraId="4E66C00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）本基金在任何交易日日终，持有的卖出股指期货合约价值不得超过本基金持有的股票总市值的</w:t>
      </w:r>
      <w:r>
        <w:rPr>
          <w:rFonts w:hint="eastAsia"/>
          <w:kern w:val="0"/>
          <w:sz w:val="24"/>
        </w:rPr>
        <w:t>20%</w:t>
      </w:r>
      <w:r>
        <w:rPr>
          <w:rFonts w:hint="eastAsia"/>
          <w:kern w:val="0"/>
          <w:sz w:val="24"/>
        </w:rPr>
        <w:t>；</w:t>
      </w:r>
    </w:p>
    <w:p w14:paraId="56E0B3C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）本基金所持有的股票市值和买入、卖出股指期货合约价值，合计（轧差计算）应当符合基金合同关于股票投资比例的有关约定；</w:t>
      </w:r>
    </w:p>
    <w:p w14:paraId="055D320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）本基金在任何交易日内交易（不包括平仓）的股指期货合约的成交金额不得超过上一交易日基金资产净值的</w:t>
      </w:r>
      <w:r>
        <w:rPr>
          <w:rFonts w:hint="eastAsia"/>
          <w:kern w:val="0"/>
          <w:sz w:val="24"/>
        </w:rPr>
        <w:t>20%</w:t>
      </w:r>
      <w:r>
        <w:rPr>
          <w:rFonts w:hint="eastAsia"/>
          <w:kern w:val="0"/>
          <w:sz w:val="24"/>
        </w:rPr>
        <w:t>；</w:t>
      </w:r>
    </w:p>
    <w:p w14:paraId="63552FD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）本基金参与国债期货交易，需遵守下列投资比例限制：</w:t>
      </w:r>
    </w:p>
    <w:p w14:paraId="56199AF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）本基金在任何交易日日终，持有的买入国债期货合约价值，不得超过基金资产净值的</w:t>
      </w:r>
      <w:r>
        <w:rPr>
          <w:rFonts w:hint="eastAsia"/>
          <w:kern w:val="0"/>
          <w:sz w:val="24"/>
        </w:rPr>
        <w:t>15%</w:t>
      </w:r>
      <w:r>
        <w:rPr>
          <w:rFonts w:hint="eastAsia"/>
          <w:kern w:val="0"/>
          <w:sz w:val="24"/>
        </w:rPr>
        <w:t>；</w:t>
      </w:r>
    </w:p>
    <w:p w14:paraId="2F5A7DE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）本基金在任何交易日日终持有的买入国债期货合约和股指期货合约价值与有价证券市值之和不得超过基金资产净值的</w:t>
      </w:r>
      <w:r>
        <w:rPr>
          <w:rFonts w:hint="eastAsia"/>
          <w:kern w:val="0"/>
          <w:sz w:val="24"/>
        </w:rPr>
        <w:t>95%</w:t>
      </w:r>
      <w:r>
        <w:rPr>
          <w:rFonts w:hint="eastAsia"/>
          <w:kern w:val="0"/>
          <w:sz w:val="24"/>
        </w:rPr>
        <w:t>。其中，有价证券指股票、债券（不含到期日在一年以内的政府债券）、资产支持证券、买入返售金融资产（不含质押式回购）等；</w:t>
      </w:r>
    </w:p>
    <w:p w14:paraId="3D9CB2A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）本基金在任何交易日日终，持有的卖出国债期货合约价值不得超过基金持有的债券总市值的</w:t>
      </w:r>
      <w:r>
        <w:rPr>
          <w:rFonts w:hint="eastAsia"/>
          <w:kern w:val="0"/>
          <w:sz w:val="24"/>
        </w:rPr>
        <w:t>30%</w:t>
      </w:r>
      <w:r>
        <w:rPr>
          <w:rFonts w:hint="eastAsia"/>
          <w:kern w:val="0"/>
          <w:sz w:val="24"/>
        </w:rPr>
        <w:t>；</w:t>
      </w:r>
    </w:p>
    <w:p w14:paraId="056682B1" w14:textId="3A16A7DF" w:rsidR="001A6E24" w:rsidRDefault="000739D5">
      <w:pPr>
        <w:widowControl/>
        <w:adjustRightInd w:val="0"/>
        <w:snapToGrid w:val="0"/>
        <w:spacing w:line="360" w:lineRule="auto"/>
        <w:ind w:firstLineChars="200" w:firstLine="480"/>
        <w:rPr>
          <w:kern w:val="0"/>
          <w:sz w:val="24"/>
        </w:rPr>
      </w:pPr>
      <w:r>
        <w:rPr>
          <w:bCs/>
          <w:sz w:val="24"/>
        </w:rPr>
        <w:t>4</w:t>
      </w:r>
      <w:r>
        <w:rPr>
          <w:rFonts w:hint="eastAsia"/>
          <w:kern w:val="0"/>
          <w:sz w:val="24"/>
        </w:rPr>
        <w:t>）本基金在任何交易日内交易（不包括平仓）的国债期货合约的成交金额不得超过上一交易日基金资产净值的</w:t>
      </w:r>
      <w:r>
        <w:rPr>
          <w:rFonts w:hint="eastAsia"/>
          <w:kern w:val="0"/>
          <w:sz w:val="24"/>
        </w:rPr>
        <w:t>30%</w:t>
      </w:r>
      <w:r>
        <w:rPr>
          <w:rFonts w:hint="eastAsia"/>
          <w:kern w:val="0"/>
          <w:sz w:val="24"/>
        </w:rPr>
        <w:t>；</w:t>
      </w:r>
    </w:p>
    <w:p w14:paraId="48B0772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15</w:t>
      </w:r>
      <w:r>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Pr>
          <w:rFonts w:hint="eastAsia"/>
          <w:kern w:val="0"/>
          <w:sz w:val="24"/>
        </w:rPr>
        <w:t>15%</w:t>
      </w:r>
      <w:r>
        <w:rPr>
          <w:rFonts w:hint="eastAsia"/>
          <w:kern w:val="0"/>
          <w:sz w:val="24"/>
        </w:rPr>
        <w:t>；</w:t>
      </w:r>
    </w:p>
    <w:p w14:paraId="34D7C52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16</w:t>
      </w:r>
      <w:r>
        <w:rPr>
          <w:rFonts w:hint="eastAsia"/>
          <w:kern w:val="0"/>
          <w:sz w:val="24"/>
        </w:rPr>
        <w:t>）本基金管理人管理的且由本基金托管人托管的全部投资组合持有一家上市公司发行的可流通股票，不得超过该上市公司可流通股票的</w:t>
      </w:r>
      <w:r>
        <w:rPr>
          <w:rFonts w:hint="eastAsia"/>
          <w:kern w:val="0"/>
          <w:sz w:val="24"/>
        </w:rPr>
        <w:t>30%</w:t>
      </w:r>
      <w:r>
        <w:rPr>
          <w:rFonts w:hint="eastAsia"/>
          <w:kern w:val="0"/>
          <w:sz w:val="24"/>
        </w:rPr>
        <w:t>；</w:t>
      </w:r>
    </w:p>
    <w:p w14:paraId="54B2FC3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）本基金主动投资于流动性受限资产的市值合计不得超过基金资产净值的</w:t>
      </w:r>
      <w:r>
        <w:rPr>
          <w:rFonts w:hint="eastAsia"/>
          <w:kern w:val="0"/>
          <w:sz w:val="24"/>
        </w:rPr>
        <w:t>15%</w:t>
      </w:r>
      <w:r>
        <w:rPr>
          <w:rFonts w:hint="eastAsia"/>
          <w:kern w:val="0"/>
          <w:sz w:val="24"/>
        </w:rPr>
        <w:t>；因证券市场波动、上市公司股票停牌、基金规模变动等基金管理人之外的因素致使基金不符合该比例限制的，基金管理人不得主动新增流动性受限资产的投资；</w:t>
      </w:r>
    </w:p>
    <w:p w14:paraId="2FF90B07" w14:textId="74042D91"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8</w:t>
      </w:r>
      <w:r>
        <w:rPr>
          <w:rFonts w:hint="eastAsia"/>
          <w:kern w:val="0"/>
          <w:sz w:val="24"/>
        </w:rPr>
        <w:t>）本基金投资存托凭证的比例限制依照境内上市交易的股票执行，与境内上市交易的股票合并计算；</w:t>
      </w:r>
    </w:p>
    <w:p w14:paraId="0028CDA2" w14:textId="5F55055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19</w:t>
      </w:r>
      <w:r>
        <w:rPr>
          <w:rFonts w:hint="eastAsia"/>
          <w:kern w:val="0"/>
          <w:sz w:val="24"/>
        </w:rPr>
        <w:t>）本基金资产总值不超过基金资产净值的</w:t>
      </w:r>
      <w:r>
        <w:rPr>
          <w:rFonts w:hint="eastAsia"/>
          <w:kern w:val="0"/>
          <w:sz w:val="24"/>
        </w:rPr>
        <w:t>140%</w:t>
      </w:r>
      <w:r>
        <w:rPr>
          <w:rFonts w:hint="eastAsia"/>
          <w:kern w:val="0"/>
          <w:sz w:val="24"/>
        </w:rPr>
        <w:t>；</w:t>
      </w:r>
    </w:p>
    <w:p w14:paraId="38657B45" w14:textId="5BBAC993"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kern w:val="0"/>
          <w:sz w:val="24"/>
        </w:rPr>
        <w:t>0</w:t>
      </w:r>
      <w:r>
        <w:rPr>
          <w:rFonts w:hint="eastAsia"/>
          <w:kern w:val="0"/>
          <w:sz w:val="24"/>
        </w:rPr>
        <w:t>）法律法规及中国证监会规定的和《基金合同》约定的其他投资限制。</w:t>
      </w:r>
    </w:p>
    <w:p w14:paraId="2836E17B" w14:textId="31D22B02" w:rsidR="001A6E24" w:rsidRDefault="000739D5">
      <w:pPr>
        <w:widowControl/>
        <w:adjustRightInd w:val="0"/>
        <w:snapToGrid w:val="0"/>
        <w:spacing w:line="360" w:lineRule="auto"/>
        <w:ind w:firstLineChars="200" w:firstLine="480"/>
        <w:rPr>
          <w:kern w:val="0"/>
          <w:sz w:val="24"/>
        </w:rPr>
      </w:pPr>
      <w:r>
        <w:rPr>
          <w:rFonts w:hint="eastAsia"/>
          <w:kern w:val="0"/>
          <w:sz w:val="24"/>
        </w:rPr>
        <w:t>除上述第（</w:t>
      </w:r>
      <w:r>
        <w:rPr>
          <w:rFonts w:hint="eastAsia"/>
          <w:kern w:val="0"/>
          <w:sz w:val="24"/>
        </w:rPr>
        <w:t>2</w:t>
      </w:r>
      <w:r>
        <w:rPr>
          <w:rFonts w:hint="eastAsia"/>
          <w:kern w:val="0"/>
          <w:sz w:val="24"/>
        </w:rPr>
        <w:t>）、（</w:t>
      </w:r>
      <w:r>
        <w:rPr>
          <w:rFonts w:hint="eastAsia"/>
          <w:kern w:val="0"/>
          <w:sz w:val="24"/>
        </w:rPr>
        <w:t>9</w:t>
      </w:r>
      <w:r>
        <w:rPr>
          <w:rFonts w:hint="eastAsia"/>
          <w:kern w:val="0"/>
          <w:sz w:val="24"/>
        </w:rPr>
        <w:t>）、（</w:t>
      </w:r>
      <w:r>
        <w:rPr>
          <w:rFonts w:hint="eastAsia"/>
          <w:kern w:val="0"/>
          <w:sz w:val="24"/>
        </w:rPr>
        <w:t>17</w:t>
      </w:r>
      <w:r>
        <w:rPr>
          <w:rFonts w:hint="eastAsia"/>
          <w:kern w:val="0"/>
          <w:sz w:val="24"/>
        </w:rPr>
        <w:t>）项情形之外，因证券</w:t>
      </w:r>
      <w:r>
        <w:rPr>
          <w:rFonts w:hint="eastAsia"/>
          <w:kern w:val="0"/>
          <w:sz w:val="24"/>
        </w:rPr>
        <w:t>/</w:t>
      </w:r>
      <w:r>
        <w:rPr>
          <w:rFonts w:hint="eastAsia"/>
          <w:kern w:val="0"/>
          <w:sz w:val="24"/>
        </w:rPr>
        <w:t>期货市场波动、证券发行人合并、基金规模变动等基金管理人之外的因素致使基金投资比例不符合上述规定投资比例的，基金管理人应当在</w:t>
      </w:r>
      <w:r>
        <w:rPr>
          <w:rFonts w:hint="eastAsia"/>
          <w:kern w:val="0"/>
          <w:sz w:val="24"/>
        </w:rPr>
        <w:t>10</w:t>
      </w:r>
      <w:r>
        <w:rPr>
          <w:rFonts w:hint="eastAsia"/>
          <w:kern w:val="0"/>
          <w:sz w:val="24"/>
        </w:rPr>
        <w:t>个交易日内进行调整，但中国证监会规定的特殊情形除外。法律法规另有规定的，从其规定。</w:t>
      </w:r>
    </w:p>
    <w:p w14:paraId="5C75049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基金管理人应当自基金合同生效之日起</w:t>
      </w:r>
      <w:r>
        <w:rPr>
          <w:rFonts w:hint="eastAsia"/>
          <w:kern w:val="0"/>
          <w:sz w:val="24"/>
        </w:rPr>
        <w:t>6</w:t>
      </w:r>
      <w:r>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03F38E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法律法规或监管部门取消或变更上述限制，如适用于本基金，基金管理人在履行适当程序后，则本基金投资不再受相关限制或按照调整后的规定执行。</w:t>
      </w:r>
    </w:p>
    <w:p w14:paraId="6476DA6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本基金在开始进行期货投资之前，基金管理人应与基金托管人、期货公司三方</w:t>
      </w:r>
      <w:proofErr w:type="gramStart"/>
      <w:r>
        <w:rPr>
          <w:rFonts w:hint="eastAsia"/>
          <w:kern w:val="0"/>
          <w:sz w:val="24"/>
        </w:rPr>
        <w:t>一同就</w:t>
      </w:r>
      <w:proofErr w:type="gramEnd"/>
      <w:r>
        <w:rPr>
          <w:rFonts w:hint="eastAsia"/>
          <w:kern w:val="0"/>
          <w:sz w:val="24"/>
        </w:rPr>
        <w:t>期货开户、清算、估值、交收等事宜另行签署《期货投资托管操作三方备忘录》。</w:t>
      </w:r>
    </w:p>
    <w:p w14:paraId="3EA544C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（三）基金托管人</w:t>
      </w:r>
      <w:bookmarkStart w:id="8" w:name="OLE_LINK1"/>
      <w:r>
        <w:rPr>
          <w:rFonts w:hint="eastAsia"/>
          <w:kern w:val="0"/>
          <w:sz w:val="24"/>
        </w:rPr>
        <w:t>根据有关法律法规的规定及《基金合同》的约定，</w:t>
      </w:r>
      <w:bookmarkEnd w:id="8"/>
      <w:r>
        <w:rPr>
          <w:rFonts w:hint="eastAsia"/>
          <w:kern w:val="0"/>
          <w:sz w:val="24"/>
        </w:rPr>
        <w:t>对本托管协议第十五条第九款基金投资禁止行为通过事后监督方式进行监督。</w:t>
      </w:r>
    </w:p>
    <w:p w14:paraId="654CA2A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Pr>
          <w:sz w:val="24"/>
        </w:rPr>
        <w:t>建立健全内部审批机制和评估机制，按</w:t>
      </w:r>
      <w:r>
        <w:rPr>
          <w:sz w:val="24"/>
        </w:rPr>
        <w:lastRenderedPageBreak/>
        <w:t>照市场公平合理价格执行。</w:t>
      </w:r>
      <w:r>
        <w:rPr>
          <w:rFonts w:hint="eastAsia"/>
          <w:kern w:val="0"/>
          <w:sz w:val="24"/>
        </w:rPr>
        <w:t>相关交易必须事先得到基金托管人的同意，</w:t>
      </w:r>
      <w:r>
        <w:rPr>
          <w:sz w:val="24"/>
        </w:rPr>
        <w:t>并按法律法规予以披露</w:t>
      </w:r>
      <w:r>
        <w:rPr>
          <w:rFonts w:hint="eastAsia"/>
          <w:kern w:val="0"/>
          <w:sz w:val="24"/>
        </w:rPr>
        <w:t>。</w:t>
      </w:r>
    </w:p>
    <w:p w14:paraId="4809572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（四）基金托管人根据有关法律法规的规定及《基金合同》的约定，对基金管理人投资流通受限证券进行监督。</w:t>
      </w:r>
    </w:p>
    <w:p w14:paraId="2962707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4081E052"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int="eastAsia"/>
          <w:kern w:val="0"/>
          <w:sz w:val="24"/>
        </w:rPr>
        <w:t>券</w:t>
      </w:r>
      <w:proofErr w:type="gramEnd"/>
      <w:r>
        <w:rPr>
          <w:rFonts w:hint="eastAsia"/>
          <w:kern w:val="0"/>
          <w:sz w:val="24"/>
        </w:rPr>
        <w:t>等流通受限证券。本基金不投资有</w:t>
      </w:r>
      <w:proofErr w:type="gramStart"/>
      <w:r>
        <w:rPr>
          <w:rFonts w:hint="eastAsia"/>
          <w:kern w:val="0"/>
          <w:sz w:val="24"/>
        </w:rPr>
        <w:t>锁定期但锁定</w:t>
      </w:r>
      <w:proofErr w:type="gramEnd"/>
      <w:r>
        <w:rPr>
          <w:rFonts w:hint="eastAsia"/>
          <w:kern w:val="0"/>
          <w:sz w:val="24"/>
        </w:rPr>
        <w:t>期不明确的证券。</w:t>
      </w:r>
    </w:p>
    <w:p w14:paraId="5187881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577E016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本基金投资的流通受限证券应保证登记存管在本基金名下，基金管理人负责相关工作的落实和协调，并确保基金托管人能够正常查询。因基金管理</w:t>
      </w:r>
      <w:proofErr w:type="gramStart"/>
      <w:r>
        <w:rPr>
          <w:rFonts w:hint="eastAsia"/>
          <w:kern w:val="0"/>
          <w:sz w:val="24"/>
        </w:rPr>
        <w:t>人原因</w:t>
      </w:r>
      <w:proofErr w:type="gramEnd"/>
      <w:r>
        <w:rPr>
          <w:rFonts w:hint="eastAsia"/>
          <w:kern w:val="0"/>
          <w:sz w:val="24"/>
        </w:rPr>
        <w:t>产生的流通受限证券登记存管问题，造成基金托管人无法安全保管本基金资产的责任与损失，及因流通受限证券存管直接影响本基金安全的责任及损失，由基金管理人承担。</w:t>
      </w:r>
    </w:p>
    <w:p w14:paraId="180894B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本基金投资流通受限证券，不得预付任何形式的保证金，</w:t>
      </w:r>
      <w:proofErr w:type="gramStart"/>
      <w:r>
        <w:rPr>
          <w:rFonts w:hint="eastAsia"/>
          <w:kern w:val="0"/>
          <w:sz w:val="24"/>
        </w:rPr>
        <w:t>若法规</w:t>
      </w:r>
      <w:proofErr w:type="gramEnd"/>
      <w:r>
        <w:rPr>
          <w:rFonts w:hint="eastAsia"/>
          <w:kern w:val="0"/>
          <w:sz w:val="24"/>
        </w:rPr>
        <w:t>有新规定的按照新的规定执行。</w:t>
      </w:r>
    </w:p>
    <w:p w14:paraId="1C3E61EA"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203F064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hint="eastAsia"/>
          <w:kern w:val="0"/>
          <w:sz w:val="24"/>
        </w:rPr>
        <w:t>人原</w:t>
      </w:r>
      <w:r>
        <w:rPr>
          <w:rFonts w:hint="eastAsia"/>
          <w:kern w:val="0"/>
          <w:sz w:val="24"/>
        </w:rPr>
        <w:lastRenderedPageBreak/>
        <w:t>因</w:t>
      </w:r>
      <w:proofErr w:type="gramEnd"/>
      <w:r>
        <w:rPr>
          <w:rFonts w:hint="eastAsia"/>
          <w:kern w:val="0"/>
          <w:sz w:val="24"/>
        </w:rPr>
        <w:t>导致本基金出现损失致使基金托管人承担连带赔偿责任的，基金管理人应赔偿基金托管人由此遭受的损失。</w:t>
      </w:r>
    </w:p>
    <w:p w14:paraId="2CE0BB71"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483BC3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）中国证监会批准发行非公开发行股票的批准文件。</w:t>
      </w:r>
    </w:p>
    <w:p w14:paraId="0CD9300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）非公开发行股票有关发行数量、发行价格、锁定期等发行资料。</w:t>
      </w:r>
    </w:p>
    <w:p w14:paraId="0313408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）基金拟认购的数量、价格、总成本、账面价值。</w:t>
      </w:r>
    </w:p>
    <w:p w14:paraId="14A01ED1"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5DCAF73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本基金有关投资流通受限证券比例如违反有关限制规定，在合理期限内未能进行及时调整，基金管理人应在两日内编制临时报告书，予以公告。</w:t>
      </w:r>
    </w:p>
    <w:p w14:paraId="4E7BE2A9" w14:textId="77777777" w:rsidR="001A6E24" w:rsidRDefault="000739D5">
      <w:pPr>
        <w:widowControl/>
        <w:adjustRightInd w:val="0"/>
        <w:snapToGrid w:val="0"/>
        <w:spacing w:line="360" w:lineRule="auto"/>
        <w:ind w:firstLineChars="200" w:firstLine="480"/>
        <w:rPr>
          <w:kern w:val="0"/>
          <w:sz w:val="24"/>
        </w:rPr>
      </w:pPr>
      <w:r>
        <w:rPr>
          <w:kern w:val="0"/>
          <w:sz w:val="24"/>
        </w:rPr>
        <w:t>5.</w:t>
      </w:r>
      <w:r>
        <w:rPr>
          <w:rFonts w:hint="eastAsia"/>
          <w:kern w:val="0"/>
          <w:sz w:val="24"/>
        </w:rPr>
        <w:t>相关法律法规对基金投资流通受限证券有新规定的，从其规定。</w:t>
      </w:r>
    </w:p>
    <w:p w14:paraId="01B33EC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（五）当基金持有特定资产且存在或潜在大额赎回申请时，根据最大限度保护基金份额持有人利益的原则，基金管理人经与基金托管人协商一致，并咨询会计师事务所意见后，可以依照法律法规及基金合同的约定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kern w:val="0"/>
          <w:sz w:val="24"/>
        </w:rPr>
        <w:t>启用侧袋机制</w:t>
      </w:r>
      <w:proofErr w:type="gramEnd"/>
      <w:r>
        <w:rPr>
          <w:rFonts w:hint="eastAsia"/>
          <w:kern w:val="0"/>
          <w:sz w:val="24"/>
        </w:rPr>
        <w:t>。</w:t>
      </w:r>
    </w:p>
    <w:p w14:paraId="547BC91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BDE095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0192FD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4E024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（九）</w:t>
      </w:r>
      <w:proofErr w:type="gramStart"/>
      <w:r>
        <w:rPr>
          <w:rFonts w:hint="eastAsia"/>
          <w:kern w:val="0"/>
          <w:sz w:val="24"/>
        </w:rPr>
        <w:t>若基金</w:t>
      </w:r>
      <w:proofErr w:type="gramEnd"/>
      <w:r>
        <w:rPr>
          <w:rFonts w:hint="eastAsia"/>
          <w:kern w:val="0"/>
          <w:sz w:val="24"/>
        </w:rPr>
        <w:t>托管人发现基金管理人依据交易程序已经生效的指令违反法律、行政法规和其他有关规定，或者违反《基金合同》约定的，应当立即通知基金管理人，由此造成的损失由基金管理人承担。</w:t>
      </w:r>
    </w:p>
    <w:p w14:paraId="08BA6B9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2BD2789" w14:textId="77777777" w:rsidR="001A6E24" w:rsidRDefault="000739D5">
      <w:pPr>
        <w:pStyle w:val="2"/>
        <w:spacing w:line="360" w:lineRule="auto"/>
        <w:jc w:val="center"/>
        <w:rPr>
          <w:rFonts w:ascii="Times New Roman" w:hAnsi="Times New Roman"/>
          <w:sz w:val="30"/>
        </w:rPr>
      </w:pPr>
      <w:r>
        <w:rPr>
          <w:sz w:val="24"/>
        </w:rPr>
        <w:br w:type="column"/>
      </w:r>
      <w:bookmarkStart w:id="9" w:name="_Toc119402710"/>
      <w:bookmarkStart w:id="10" w:name="_Toc118774803"/>
      <w:bookmarkStart w:id="11" w:name="_Toc86726439"/>
      <w:bookmarkStart w:id="12" w:name="_Toc86649722"/>
      <w:bookmarkStart w:id="13" w:name="_Toc110830492"/>
      <w:bookmarkStart w:id="14" w:name="_Toc118972648"/>
      <w:bookmarkStart w:id="15" w:name="_Toc110761796"/>
      <w:bookmarkStart w:id="16" w:name="_Toc124325888"/>
      <w:bookmarkStart w:id="17" w:name="_Toc120435783"/>
      <w:bookmarkStart w:id="18" w:name="_Toc86225291"/>
      <w:bookmarkStart w:id="19" w:name="_Toc108512358"/>
      <w:bookmarkStart w:id="20" w:name="_Toc89163368"/>
      <w:bookmarkStart w:id="21" w:name="_Toc86737929"/>
      <w:bookmarkStart w:id="22" w:name="_Toc110765660"/>
      <w:bookmarkStart w:id="23" w:name="_Toc118212950"/>
      <w:bookmarkStart w:id="24" w:name="_Toc86223242"/>
      <w:bookmarkStart w:id="25" w:name="_Toc86727355"/>
      <w:r>
        <w:rPr>
          <w:rFonts w:ascii="Times New Roman" w:hAnsi="Times New Roman"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DA2A3C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4371466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hint="eastAsia"/>
          <w:kern w:val="0"/>
          <w:sz w:val="24"/>
        </w:rPr>
        <w:t>供基金</w:t>
      </w:r>
      <w:proofErr w:type="gramEnd"/>
      <w:r>
        <w:rPr>
          <w:rFonts w:hint="eastAsia"/>
          <w:kern w:val="0"/>
          <w:sz w:val="24"/>
        </w:rPr>
        <w:t>管理人核查托管财产的完整性和真实性，在规定时间内答复基金管理人并改正。</w:t>
      </w:r>
    </w:p>
    <w:p w14:paraId="6BA5EF9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57E4A94D" w14:textId="77777777" w:rsidR="001A6E24" w:rsidRDefault="000739D5">
      <w:pPr>
        <w:pStyle w:val="2"/>
        <w:spacing w:line="360" w:lineRule="auto"/>
        <w:jc w:val="center"/>
        <w:rPr>
          <w:rFonts w:ascii="Times New Roman" w:hAnsi="Times New Roman"/>
          <w:sz w:val="30"/>
        </w:rPr>
      </w:pPr>
      <w:r>
        <w:rPr>
          <w:sz w:val="24"/>
        </w:rPr>
        <w:br w:type="column"/>
      </w:r>
      <w:bookmarkStart w:id="26" w:name="_Toc119402711"/>
      <w:bookmarkStart w:id="27" w:name="_Toc110761797"/>
      <w:bookmarkStart w:id="28" w:name="_Toc84234388"/>
      <w:bookmarkStart w:id="29" w:name="_Toc110830493"/>
      <w:bookmarkStart w:id="30" w:name="_Toc86225292"/>
      <w:bookmarkStart w:id="31" w:name="_Toc86737930"/>
      <w:bookmarkStart w:id="32" w:name="_Toc118774804"/>
      <w:bookmarkStart w:id="33" w:name="_Toc124325889"/>
      <w:bookmarkStart w:id="34" w:name="_Toc86727356"/>
      <w:bookmarkStart w:id="35" w:name="_Toc118212951"/>
      <w:bookmarkStart w:id="36" w:name="_Toc89163369"/>
      <w:bookmarkStart w:id="37" w:name="_Toc84133786"/>
      <w:bookmarkStart w:id="38" w:name="_Toc84234435"/>
      <w:bookmarkStart w:id="39" w:name="_Toc108512359"/>
      <w:bookmarkStart w:id="40" w:name="_Toc86726440"/>
      <w:bookmarkStart w:id="41" w:name="_Toc86223243"/>
      <w:bookmarkStart w:id="42" w:name="_Toc86649723"/>
      <w:bookmarkStart w:id="43" w:name="_Toc110765661"/>
      <w:bookmarkStart w:id="44" w:name="_Toc118972649"/>
      <w:bookmarkStart w:id="45" w:name="_Toc86204789"/>
      <w:bookmarkStart w:id="46" w:name="_Toc120435784"/>
      <w:r>
        <w:rPr>
          <w:rFonts w:ascii="Times New Roman" w:hAnsi="Times New Roman" w:hint="eastAsia"/>
          <w:sz w:val="30"/>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A3FD32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（一）基金财产保管的原则</w:t>
      </w:r>
    </w:p>
    <w:p w14:paraId="7D945362"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基金财产应独立于基金管理人、基金托管人的固有财产。</w:t>
      </w:r>
    </w:p>
    <w:p w14:paraId="3E4FDD19"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基金托管人应安全保管基金财产。</w:t>
      </w:r>
    </w:p>
    <w:p w14:paraId="18E1E3B9"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基金托管人按照规定开设基金财产的资金账户和证券账户。</w:t>
      </w:r>
    </w:p>
    <w:p w14:paraId="2CE9E94E"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基金托管人对所托管的不同基金财产分别设置账户，确保基金财产的完整与独立。</w:t>
      </w:r>
    </w:p>
    <w:p w14:paraId="24A8188C" w14:textId="77777777" w:rsidR="001A6E24" w:rsidRDefault="000739D5">
      <w:pPr>
        <w:widowControl/>
        <w:adjustRightInd w:val="0"/>
        <w:snapToGrid w:val="0"/>
        <w:spacing w:line="360" w:lineRule="auto"/>
        <w:ind w:firstLineChars="200" w:firstLine="480"/>
        <w:rPr>
          <w:kern w:val="0"/>
          <w:sz w:val="24"/>
        </w:rPr>
      </w:pPr>
      <w:r>
        <w:rPr>
          <w:kern w:val="0"/>
          <w:sz w:val="24"/>
        </w:rPr>
        <w:t>5.</w:t>
      </w:r>
      <w:r>
        <w:rPr>
          <w:rFonts w:hint="eastAsia"/>
          <w:kern w:val="0"/>
          <w:sz w:val="24"/>
        </w:rPr>
        <w:t>基金托管人按照《基金合同》和本托管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Pr>
          <w:kern w:val="0"/>
          <w:sz w:val="24"/>
        </w:rPr>
        <w:t>/</w:t>
      </w:r>
      <w:r>
        <w:rPr>
          <w:rFonts w:hint="eastAsia"/>
          <w:kern w:val="0"/>
          <w:sz w:val="24"/>
        </w:rPr>
        <w:t>登记结算机构扣</w:t>
      </w:r>
      <w:proofErr w:type="gramStart"/>
      <w:r>
        <w:rPr>
          <w:rFonts w:hint="eastAsia"/>
          <w:kern w:val="0"/>
          <w:sz w:val="24"/>
        </w:rPr>
        <w:t>收交易</w:t>
      </w:r>
      <w:proofErr w:type="gramEnd"/>
      <w:r>
        <w:rPr>
          <w:rFonts w:hint="eastAsia"/>
          <w:kern w:val="0"/>
          <w:sz w:val="24"/>
        </w:rPr>
        <w:t>费、结算费和账户维护费等费用）。</w:t>
      </w:r>
    </w:p>
    <w:p w14:paraId="5FC28A13" w14:textId="77777777" w:rsidR="001A6E24" w:rsidRDefault="000739D5">
      <w:pPr>
        <w:widowControl/>
        <w:adjustRightInd w:val="0"/>
        <w:snapToGrid w:val="0"/>
        <w:spacing w:line="360" w:lineRule="auto"/>
        <w:ind w:firstLineChars="200" w:firstLine="480"/>
        <w:rPr>
          <w:kern w:val="0"/>
          <w:sz w:val="24"/>
        </w:rPr>
      </w:pPr>
      <w:r>
        <w:rPr>
          <w:kern w:val="0"/>
          <w:sz w:val="24"/>
        </w:rPr>
        <w:t>6.</w:t>
      </w:r>
      <w:r>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537E53A" w14:textId="77777777" w:rsidR="001A6E24" w:rsidRDefault="000739D5">
      <w:pPr>
        <w:widowControl/>
        <w:adjustRightInd w:val="0"/>
        <w:snapToGrid w:val="0"/>
        <w:spacing w:line="360" w:lineRule="auto"/>
        <w:ind w:firstLineChars="200" w:firstLine="480"/>
        <w:rPr>
          <w:kern w:val="0"/>
          <w:sz w:val="24"/>
        </w:rPr>
      </w:pPr>
      <w:r>
        <w:rPr>
          <w:kern w:val="0"/>
          <w:sz w:val="24"/>
        </w:rPr>
        <w:t>7.</w:t>
      </w:r>
      <w:r>
        <w:rPr>
          <w:rFonts w:hint="eastAsia"/>
          <w:kern w:val="0"/>
          <w:sz w:val="24"/>
        </w:rPr>
        <w:t>除依据法律法规和《基金合同》的规定外，基金托管人不得委托第三人托管基金财产。</w:t>
      </w:r>
    </w:p>
    <w:p w14:paraId="0C61B23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（二）基金募集期间及募集资金的验资</w:t>
      </w:r>
    </w:p>
    <w:p w14:paraId="1AFFDC01"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基金募集期间募集的资金应存于基金管理人在基金托管人的营业机构开立的“基金募集专户”。该账户由基金管理人开立并管理。</w:t>
      </w:r>
    </w:p>
    <w:p w14:paraId="64A7BFEB"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w:t>
      </w:r>
      <w:r>
        <w:rPr>
          <w:kern w:val="0"/>
          <w:sz w:val="24"/>
        </w:rPr>
        <w:t>2</w:t>
      </w:r>
      <w:r>
        <w:rPr>
          <w:rFonts w:hint="eastAsia"/>
          <w:kern w:val="0"/>
          <w:sz w:val="24"/>
        </w:rPr>
        <w:t>名或</w:t>
      </w:r>
      <w:r>
        <w:rPr>
          <w:kern w:val="0"/>
          <w:sz w:val="24"/>
        </w:rPr>
        <w:t>2</w:t>
      </w:r>
      <w:r>
        <w:rPr>
          <w:rFonts w:hint="eastAsia"/>
          <w:kern w:val="0"/>
          <w:sz w:val="24"/>
        </w:rPr>
        <w:t>名以上中国注册会计师签字方为有效。</w:t>
      </w:r>
    </w:p>
    <w:p w14:paraId="127A84FF" w14:textId="77777777" w:rsidR="001A6E24" w:rsidRDefault="000739D5">
      <w:pPr>
        <w:widowControl/>
        <w:adjustRightInd w:val="0"/>
        <w:snapToGrid w:val="0"/>
        <w:spacing w:line="360" w:lineRule="auto"/>
        <w:ind w:firstLineChars="200" w:firstLine="480"/>
        <w:rPr>
          <w:kern w:val="0"/>
          <w:sz w:val="24"/>
        </w:rPr>
      </w:pPr>
      <w:r>
        <w:rPr>
          <w:kern w:val="0"/>
          <w:sz w:val="24"/>
        </w:rPr>
        <w:lastRenderedPageBreak/>
        <w:t>3.</w:t>
      </w:r>
      <w:proofErr w:type="gramStart"/>
      <w:r>
        <w:rPr>
          <w:rFonts w:hint="eastAsia"/>
          <w:kern w:val="0"/>
          <w:sz w:val="24"/>
        </w:rPr>
        <w:t>若基金</w:t>
      </w:r>
      <w:proofErr w:type="gramEnd"/>
      <w:r>
        <w:rPr>
          <w:rFonts w:hint="eastAsia"/>
          <w:kern w:val="0"/>
          <w:sz w:val="24"/>
        </w:rPr>
        <w:t>募集期限届满，未能达到《基金合同》生效的条件，由基金管理人按规定办理退款等事宜。</w:t>
      </w:r>
    </w:p>
    <w:p w14:paraId="014CF05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（三）基金银行账户的开立和管理</w:t>
      </w:r>
    </w:p>
    <w:p w14:paraId="27EEE1C5" w14:textId="0A7A2487" w:rsidR="004811B5" w:rsidRPr="004811B5"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基金托管人应以基金的名义在其营业机构开立基金的银行账户，并根据基金管理人合法合</w:t>
      </w:r>
      <w:proofErr w:type="gramStart"/>
      <w:r>
        <w:rPr>
          <w:rFonts w:hint="eastAsia"/>
          <w:kern w:val="0"/>
          <w:sz w:val="24"/>
        </w:rPr>
        <w:t>规</w:t>
      </w:r>
      <w:proofErr w:type="gramEnd"/>
      <w:r>
        <w:rPr>
          <w:rFonts w:hint="eastAsia"/>
          <w:kern w:val="0"/>
          <w:sz w:val="24"/>
        </w:rPr>
        <w:t>的指令办理资金收付。本基金的银行预留印鉴</w:t>
      </w:r>
      <w:r w:rsidR="00A73EF5" w:rsidRPr="00207544">
        <w:rPr>
          <w:rFonts w:hint="eastAsia"/>
          <w:kern w:val="0"/>
          <w:sz w:val="24"/>
        </w:rPr>
        <w:t>根据托管人的要求处理</w:t>
      </w:r>
      <w:r>
        <w:rPr>
          <w:rFonts w:hint="eastAsia"/>
          <w:kern w:val="0"/>
          <w:sz w:val="24"/>
        </w:rPr>
        <w:t>。</w:t>
      </w:r>
    </w:p>
    <w:p w14:paraId="10A3DE14"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798B66F9"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基金银行账户的开立和管理应符合银行业监督管理机构的有关规定。</w:t>
      </w:r>
    </w:p>
    <w:p w14:paraId="73FA6A1F"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在符合法律法规规定的条件下，基金托管人可以通过基金托管人专用账户办理基金资产的支付。</w:t>
      </w:r>
    </w:p>
    <w:p w14:paraId="68C6174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管理人应于托管产品到期后及时完成收益兑付、费用结清及其他应收应付款项资金划转，在确保后续不再发生款项进出后的</w:t>
      </w:r>
      <w:r>
        <w:rPr>
          <w:rFonts w:hint="eastAsia"/>
          <w:kern w:val="0"/>
          <w:sz w:val="24"/>
        </w:rPr>
        <w:t>10</w:t>
      </w:r>
      <w:r>
        <w:rPr>
          <w:rFonts w:hint="eastAsia"/>
          <w:kern w:val="0"/>
          <w:sz w:val="24"/>
        </w:rPr>
        <w:t>个工作日内向托管人发出销户申请。</w:t>
      </w:r>
    </w:p>
    <w:p w14:paraId="1277EDE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（四）基金证券账户和结算备付金账户的开立和管理</w:t>
      </w:r>
    </w:p>
    <w:p w14:paraId="1DEEEBCC"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基金托管人在中国证券登记结算有限责任公司为基金开立基金托管人与基金联名的证券账户。</w:t>
      </w:r>
    </w:p>
    <w:p w14:paraId="71D8B704"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1F2005A"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基金证券账户的开立和证券账户卡的保管由基金托管人负责，账户资产的管理和运用由基金管理人负责。</w:t>
      </w:r>
    </w:p>
    <w:p w14:paraId="5C0445C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证券账户开户费由本基金财产承担。此项开户费由基金管理人先行垫付，</w:t>
      </w:r>
      <w:proofErr w:type="gramStart"/>
      <w:r>
        <w:rPr>
          <w:rFonts w:hint="eastAsia"/>
          <w:kern w:val="0"/>
          <w:sz w:val="24"/>
        </w:rPr>
        <w:t>待本基金</w:t>
      </w:r>
      <w:proofErr w:type="gramEnd"/>
      <w:r>
        <w:rPr>
          <w:rFonts w:hint="eastAsia"/>
          <w:kern w:val="0"/>
          <w:sz w:val="24"/>
        </w:rPr>
        <w:t>启始运营后，基金管理人可向基金托管人发送划款指令，将代垫开户费从本基金托管资金账户中扣还基金管理人。账户开立后，基金托管人应及时将证券账户开通信息通知基金管理人。</w:t>
      </w:r>
    </w:p>
    <w:p w14:paraId="2AF4B469"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hint="eastAsia"/>
          <w:kern w:val="0"/>
          <w:sz w:val="24"/>
        </w:rPr>
        <w:t>收</w:t>
      </w:r>
      <w:r>
        <w:rPr>
          <w:rFonts w:hint="eastAsia"/>
          <w:kern w:val="0"/>
          <w:sz w:val="24"/>
        </w:rPr>
        <w:lastRenderedPageBreak/>
        <w:t>资金</w:t>
      </w:r>
      <w:proofErr w:type="gramEnd"/>
      <w:r>
        <w:rPr>
          <w:rFonts w:hint="eastAsia"/>
          <w:kern w:val="0"/>
          <w:sz w:val="24"/>
        </w:rPr>
        <w:t>等的收取按照中国证券登记结算有限责任公司的规定以及基金管理人与基金托管人签署的《托管银行证券资金结算协议》执行。</w:t>
      </w:r>
    </w:p>
    <w:p w14:paraId="08B9FBEF" w14:textId="77777777" w:rsidR="001A6E24" w:rsidRDefault="000739D5">
      <w:pPr>
        <w:adjustRightInd w:val="0"/>
        <w:snapToGrid w:val="0"/>
        <w:spacing w:line="360" w:lineRule="auto"/>
        <w:ind w:firstLineChars="200" w:firstLine="480"/>
        <w:rPr>
          <w:kern w:val="0"/>
          <w:sz w:val="24"/>
        </w:rPr>
      </w:pPr>
      <w:r>
        <w:rPr>
          <w:kern w:val="0"/>
          <w:sz w:val="24"/>
        </w:rPr>
        <w:t>5.</w:t>
      </w:r>
      <w:r>
        <w:rPr>
          <w:rFonts w:hint="eastAsia"/>
          <w:kern w:val="0"/>
          <w:sz w:val="24"/>
        </w:rPr>
        <w:t>账户注销时，在遵守中国证券登记结算公司的相关规定下，由基金管理人和基金托管人协商确认主要办理人。账户注销期间，主要办理人如需另一方提供配合的，另一方应予以配合。</w:t>
      </w:r>
    </w:p>
    <w:p w14:paraId="6202C6DB" w14:textId="77777777" w:rsidR="001A6E24" w:rsidRDefault="000739D5">
      <w:pPr>
        <w:widowControl/>
        <w:adjustRightInd w:val="0"/>
        <w:snapToGrid w:val="0"/>
        <w:spacing w:line="360" w:lineRule="auto"/>
        <w:ind w:firstLineChars="200" w:firstLine="480"/>
        <w:rPr>
          <w:kern w:val="0"/>
          <w:sz w:val="24"/>
        </w:rPr>
      </w:pPr>
      <w:r>
        <w:rPr>
          <w:kern w:val="0"/>
          <w:sz w:val="24"/>
        </w:rPr>
        <w:t>6.</w:t>
      </w:r>
      <w:r>
        <w:rPr>
          <w:rFonts w:hint="eastAsia"/>
          <w:kern w:val="0"/>
          <w:sz w:val="24"/>
        </w:rPr>
        <w:t>若中国证监会或其他监管机构在本托管协议订立日之后允许基金从事其他投资品种的投资业务，涉及相关账户的开立、使用的，若无相关规定，</w:t>
      </w:r>
      <w:proofErr w:type="gramStart"/>
      <w:r>
        <w:rPr>
          <w:rFonts w:hint="eastAsia"/>
          <w:kern w:val="0"/>
          <w:sz w:val="24"/>
        </w:rPr>
        <w:t>则基金</w:t>
      </w:r>
      <w:proofErr w:type="gramEnd"/>
      <w:r>
        <w:rPr>
          <w:rFonts w:hint="eastAsia"/>
          <w:kern w:val="0"/>
          <w:sz w:val="24"/>
        </w:rPr>
        <w:t>托管人比照上述关于账户开立、使用的规定执行。</w:t>
      </w:r>
    </w:p>
    <w:p w14:paraId="1F93A0E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（五）债券托管专户的开设和管理</w:t>
      </w:r>
    </w:p>
    <w:p w14:paraId="7D9022C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D93A90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（六）其他账户的开立和管理</w:t>
      </w:r>
    </w:p>
    <w:p w14:paraId="44C83EF2"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2395BE"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法律法规等有关规定对相关账户的开立和管理另有规定的，从其规定办理。</w:t>
      </w:r>
    </w:p>
    <w:p w14:paraId="5D346CF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（七）基金财产投资的有关有价凭证等的保管</w:t>
      </w:r>
    </w:p>
    <w:p w14:paraId="3F4542D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kern w:val="0"/>
          <w:sz w:val="24"/>
        </w:rPr>
        <w:t>/</w:t>
      </w:r>
      <w:r>
        <w:rPr>
          <w:rFonts w:hint="eastAsia"/>
          <w:kern w:val="0"/>
          <w:sz w:val="24"/>
        </w:rPr>
        <w:t>深圳分公司</w:t>
      </w:r>
      <w:r>
        <w:rPr>
          <w:kern w:val="0"/>
          <w:sz w:val="24"/>
        </w:rPr>
        <w:t>/</w:t>
      </w:r>
      <w:r>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F22A07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（八）与基金财产有关的重大合同的保管</w:t>
      </w:r>
    </w:p>
    <w:p w14:paraId="4E725443" w14:textId="77777777" w:rsidR="001A6E24" w:rsidRDefault="000739D5">
      <w:pPr>
        <w:widowControl/>
        <w:adjustRightInd w:val="0"/>
        <w:snapToGrid w:val="0"/>
        <w:spacing w:line="360" w:lineRule="auto"/>
        <w:ind w:firstLineChars="200" w:firstLine="480"/>
        <w:rPr>
          <w:sz w:val="24"/>
        </w:rPr>
      </w:pPr>
      <w:r>
        <w:rPr>
          <w:rFonts w:hint="eastAsia"/>
          <w:kern w:val="0"/>
          <w:sz w:val="24"/>
        </w:rPr>
        <w:lastRenderedPageBreak/>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年限。</w:t>
      </w:r>
      <w:bookmarkStart w:id="47" w:name="_Toc118774805"/>
      <w:bookmarkStart w:id="48" w:name="_Toc89163370"/>
      <w:bookmarkStart w:id="49" w:name="_Toc110761798"/>
      <w:bookmarkStart w:id="50" w:name="_Toc118972650"/>
      <w:bookmarkStart w:id="51" w:name="_Toc124325890"/>
      <w:bookmarkStart w:id="52" w:name="_Toc86223244"/>
      <w:bookmarkStart w:id="53" w:name="_Toc84234389"/>
      <w:bookmarkStart w:id="54" w:name="_Toc84133787"/>
      <w:bookmarkStart w:id="55" w:name="_Toc86737931"/>
      <w:bookmarkStart w:id="56" w:name="_Toc118212952"/>
      <w:bookmarkStart w:id="57" w:name="_Toc108512360"/>
      <w:bookmarkStart w:id="58" w:name="_Toc86727357"/>
      <w:bookmarkStart w:id="59" w:name="_Toc120435785"/>
      <w:bookmarkStart w:id="60" w:name="_Toc84234436"/>
      <w:bookmarkStart w:id="61" w:name="_Toc119402712"/>
      <w:bookmarkStart w:id="62" w:name="_Toc86225293"/>
      <w:bookmarkStart w:id="63" w:name="_Toc110765662"/>
      <w:bookmarkStart w:id="64" w:name="_Toc86649724"/>
      <w:bookmarkStart w:id="65" w:name="_Toc110830494"/>
      <w:bookmarkStart w:id="66" w:name="_Toc86204790"/>
      <w:bookmarkStart w:id="67" w:name="_Toc86726441"/>
    </w:p>
    <w:p w14:paraId="13176B2E"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477793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基金管理人在运用基金财产时向基金托管人发送资金划拨及其他款项付款指令，基金托管人执行基金管理人的指令、办理基金名下的资金往来等有关事项。</w:t>
      </w:r>
    </w:p>
    <w:p w14:paraId="7671DA9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（一）基金管理人对发送指令人员的书面授权</w:t>
      </w:r>
    </w:p>
    <w:p w14:paraId="08DCBC9D"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基金管理人应指定专人向基金托管人发送指令。</w:t>
      </w:r>
    </w:p>
    <w:p w14:paraId="173C8504"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基金管理人应向基金托管人提供书面授权文件，内容包括被授权人名单、预留印鉴及被授权人签字样本，授权文件应注明被授权人相应的权限。</w:t>
      </w:r>
    </w:p>
    <w:p w14:paraId="07C7A3DA"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0E59AEB"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基金管理人和基金托管人对授权文件负有保密义务，其内容不得向被授权人及相关操作人员以外的任何人泄露。但法律法规规定或有权机关要求的除外。</w:t>
      </w:r>
    </w:p>
    <w:p w14:paraId="5374F01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（二）指令的内容</w:t>
      </w:r>
    </w:p>
    <w:p w14:paraId="482C0144"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指令包括付款指令以及其他资金划拨指令等。</w:t>
      </w:r>
    </w:p>
    <w:p w14:paraId="5B397627"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基金管理人发给基金托管人的指令应写明款项事由、支付时间、到账时间、金额、账户等，加盖预留印鉴并由被授权人签字。</w:t>
      </w:r>
    </w:p>
    <w:p w14:paraId="467697F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（三）指令的发送、确认及执行的时间和程序</w:t>
      </w:r>
    </w:p>
    <w:p w14:paraId="4EB020B0"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指令的发送</w:t>
      </w:r>
    </w:p>
    <w:p w14:paraId="55E2F0D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基金管理人发送指令应采用加密传真方式或双方协商一致的其他方式。</w:t>
      </w:r>
    </w:p>
    <w:p w14:paraId="7E3ED12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托管协议确认后，则对于此后该被授权人无权发送的指令，或超权限发送的指令，基金管理人不承担责任，授权已更改但未经基金托管人确认的情况除外。</w:t>
      </w:r>
    </w:p>
    <w:p w14:paraId="4AE9DB7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指令发出后，基金管理人应及时以电话方式向基金托管人确认。</w:t>
      </w:r>
    </w:p>
    <w:p w14:paraId="0894730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20D28AF"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指令的确认</w:t>
      </w:r>
    </w:p>
    <w:p w14:paraId="0DDE9F5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0927C75"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指令的时间和执行</w:t>
      </w:r>
    </w:p>
    <w:p w14:paraId="7EBD5769" w14:textId="21BBBE9F" w:rsidR="001A6E24" w:rsidRDefault="000739D5">
      <w:pPr>
        <w:widowControl/>
        <w:adjustRightInd w:val="0"/>
        <w:snapToGrid w:val="0"/>
        <w:spacing w:line="360" w:lineRule="auto"/>
        <w:ind w:firstLineChars="200" w:firstLine="480"/>
      </w:pPr>
      <w:r>
        <w:rPr>
          <w:rFonts w:hint="eastAsia"/>
          <w:kern w:val="0"/>
          <w:sz w:val="24"/>
        </w:rPr>
        <w:t>基金管理人尽量于划款前</w:t>
      </w:r>
      <w:r>
        <w:rPr>
          <w:kern w:val="0"/>
          <w:sz w:val="24"/>
        </w:rPr>
        <w:t>1</w:t>
      </w:r>
      <w:r>
        <w:rPr>
          <w:rFonts w:hint="eastAsia"/>
          <w:kern w:val="0"/>
          <w:sz w:val="24"/>
        </w:rPr>
        <w:t>个工作日向基金托管人发送指令并确认。对于要求当天到账的指令，必须在当天</w:t>
      </w:r>
      <w:r>
        <w:rPr>
          <w:kern w:val="0"/>
          <w:sz w:val="24"/>
        </w:rPr>
        <w:t>15:30</w:t>
      </w:r>
      <w:r>
        <w:rPr>
          <w:rFonts w:hint="eastAsia"/>
          <w:kern w:val="0"/>
          <w:sz w:val="24"/>
        </w:rPr>
        <w:t>前向基金托管人发送，</w:t>
      </w:r>
      <w:r>
        <w:rPr>
          <w:kern w:val="0"/>
          <w:sz w:val="24"/>
        </w:rPr>
        <w:t>15:30</w:t>
      </w:r>
      <w:r>
        <w:rPr>
          <w:rFonts w:hint="eastAsia"/>
          <w:kern w:val="0"/>
          <w:sz w:val="24"/>
        </w:rPr>
        <w:t>之后发送的，基金托管人尽力执行，但不能保证划账成功。如果要求当天某一时点到账的指令，则指令需要提前</w:t>
      </w:r>
      <w:r>
        <w:rPr>
          <w:kern w:val="0"/>
          <w:sz w:val="24"/>
        </w:rPr>
        <w:t>2</w:t>
      </w:r>
      <w:r>
        <w:rPr>
          <w:rFonts w:hint="eastAsia"/>
          <w:kern w:val="0"/>
          <w:sz w:val="24"/>
        </w:rPr>
        <w:t>个工作小时发送，并且相关付款条件已经具备。基金托管人将视付款条件具备时为指令送达时间。对新股申购网下发行业务，基金管理人应在网下申购缴款日</w:t>
      </w:r>
      <w:r>
        <w:rPr>
          <w:kern w:val="0"/>
          <w:sz w:val="24"/>
        </w:rPr>
        <w:t>(T</w:t>
      </w:r>
      <w:r>
        <w:rPr>
          <w:rFonts w:hint="eastAsia"/>
          <w:kern w:val="0"/>
          <w:sz w:val="24"/>
        </w:rPr>
        <w:t>日</w:t>
      </w:r>
      <w:r>
        <w:rPr>
          <w:kern w:val="0"/>
          <w:sz w:val="24"/>
        </w:rPr>
        <w:t>)</w:t>
      </w:r>
      <w:r>
        <w:rPr>
          <w:rFonts w:hint="eastAsia"/>
          <w:kern w:val="0"/>
          <w:sz w:val="24"/>
        </w:rPr>
        <w:t>的前一工作日下班前将指令发送给基金托管人，指令发送时间最迟不应晚于</w:t>
      </w:r>
      <w:r>
        <w:rPr>
          <w:kern w:val="0"/>
          <w:sz w:val="24"/>
        </w:rPr>
        <w:t>T</w:t>
      </w:r>
      <w:r>
        <w:rPr>
          <w:rFonts w:hint="eastAsia"/>
          <w:kern w:val="0"/>
          <w:sz w:val="24"/>
        </w:rPr>
        <w:t>日上午</w:t>
      </w:r>
      <w:r>
        <w:rPr>
          <w:kern w:val="0"/>
          <w:sz w:val="24"/>
        </w:rPr>
        <w:t>10:00</w:t>
      </w:r>
      <w:r>
        <w:rPr>
          <w:rFonts w:hint="eastAsia"/>
          <w:kern w:val="0"/>
          <w:sz w:val="24"/>
        </w:rPr>
        <w:t>。基金管理人应确保基金托管人在执行指令时，基金资金账户有足够的资金余额，在基金资金头寸充足的情况下，基金托管人对基金管理人符合法律法规、《基金合同》、本托管协议的指令不得拖延或拒绝执行。</w:t>
      </w:r>
    </w:p>
    <w:p w14:paraId="40CF5F37" w14:textId="77777777" w:rsidR="001A6E24" w:rsidRDefault="000739D5">
      <w:pPr>
        <w:widowControl/>
        <w:adjustRightInd w:val="0"/>
        <w:snapToGrid w:val="0"/>
        <w:spacing w:line="360" w:lineRule="auto"/>
        <w:ind w:firstLineChars="200" w:firstLine="480"/>
      </w:pPr>
      <w:r>
        <w:rPr>
          <w:rFonts w:hint="eastAsia"/>
          <w:kern w:val="0"/>
          <w:sz w:val="24"/>
        </w:rPr>
        <w:t>（四）基金管理人发送错误指令的情形和处理程序</w:t>
      </w:r>
    </w:p>
    <w:p w14:paraId="6E84956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基金管理人发送错误指令的情形包括指令违反法律法规和《基金合同》，指令发送人员无权或超越权限发送指令。</w:t>
      </w:r>
    </w:p>
    <w:p w14:paraId="6F65454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基金托管人在履行监督职能时，发现基金管理人的指令错误时，有权拒绝执行，并及时通知基金管理人改正。如需撤销指令，基金管理人应出具书面说明，并加盖业务用章。</w:t>
      </w:r>
    </w:p>
    <w:p w14:paraId="1B1F5DC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（五）基金托管人依照法律法规暂缓、拒绝执行指令的情形和处理程序</w:t>
      </w:r>
    </w:p>
    <w:p w14:paraId="1D5D82EC" w14:textId="77777777" w:rsidR="001A6E24" w:rsidRDefault="000739D5">
      <w:pPr>
        <w:widowControl/>
        <w:adjustRightInd w:val="0"/>
        <w:snapToGrid w:val="0"/>
        <w:spacing w:line="360" w:lineRule="auto"/>
        <w:ind w:firstLineChars="200" w:firstLine="480"/>
        <w:rPr>
          <w:kern w:val="0"/>
          <w:sz w:val="24"/>
        </w:rPr>
      </w:pPr>
      <w:proofErr w:type="gramStart"/>
      <w:r>
        <w:rPr>
          <w:rFonts w:hint="eastAsia"/>
          <w:kern w:val="0"/>
          <w:sz w:val="24"/>
        </w:rPr>
        <w:t>若基金</w:t>
      </w:r>
      <w:proofErr w:type="gramEnd"/>
      <w:r>
        <w:rPr>
          <w:rFonts w:hint="eastAsia"/>
          <w:kern w:val="0"/>
          <w:sz w:val="24"/>
        </w:rPr>
        <w:t>托管人发现基金管理人的指令违反法律法规，或者违反《基金合同》约定的，应当拒绝执行，并立即通知基金管理人。</w:t>
      </w:r>
    </w:p>
    <w:p w14:paraId="2774533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（六）基金托管人未按照基金管理人指令执行的处理方法</w:t>
      </w:r>
    </w:p>
    <w:p w14:paraId="34A9BA74" w14:textId="3A8CACB5"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基金托管人由于</w:t>
      </w:r>
      <w:r w:rsidR="0079675A">
        <w:rPr>
          <w:rFonts w:hint="eastAsia"/>
          <w:kern w:val="0"/>
          <w:sz w:val="24"/>
        </w:rPr>
        <w:t>过错</w:t>
      </w:r>
      <w:r>
        <w:rPr>
          <w:rFonts w:hint="eastAsia"/>
          <w:kern w:val="0"/>
          <w:sz w:val="24"/>
        </w:rPr>
        <w:t>，未按照基金管理人发送的指令执行并对基金财产或投资人造成的直接损失，由基金托管人赔偿由此造成的直接损失。</w:t>
      </w:r>
    </w:p>
    <w:p w14:paraId="6E62BA9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（七）更换被授权人员的程序</w:t>
      </w:r>
    </w:p>
    <w:p w14:paraId="5C9C695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hint="eastAsia"/>
          <w:kern w:val="0"/>
          <w:sz w:val="24"/>
        </w:rPr>
        <w:t>件内容</w:t>
      </w:r>
      <w:proofErr w:type="gramEnd"/>
      <w:r>
        <w:rPr>
          <w:rFonts w:hint="eastAsia"/>
          <w:kern w:val="0"/>
          <w:sz w:val="24"/>
        </w:rPr>
        <w:t>执行有关业务，如果新的授权文件正本与传真</w:t>
      </w:r>
      <w:proofErr w:type="gramStart"/>
      <w:r>
        <w:rPr>
          <w:rFonts w:hint="eastAsia"/>
          <w:kern w:val="0"/>
          <w:sz w:val="24"/>
        </w:rPr>
        <w:t>件内容</w:t>
      </w:r>
      <w:proofErr w:type="gramEnd"/>
      <w:r>
        <w:rPr>
          <w:rFonts w:hint="eastAsia"/>
          <w:kern w:val="0"/>
          <w:sz w:val="24"/>
        </w:rPr>
        <w:t>不同，由此产生的责任由基金管理人承担。基金托管人更换接受基金管理人指令的人员，应提前通过录音电话通知基金管理人。</w:t>
      </w:r>
    </w:p>
    <w:p w14:paraId="7782745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（八）其他事项</w:t>
      </w:r>
    </w:p>
    <w:p w14:paraId="62B614D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E4AFB1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基金参与认购未上市债券时，基金管理人应代表本基金与对手方签署相关合同或协议，明确约定债券过户具体事宜。否则，基金管理人需对所认购债券的过户事宜承担相应责任。</w:t>
      </w:r>
      <w:bookmarkStart w:id="68" w:name="_Toc119402713"/>
      <w:bookmarkStart w:id="69" w:name="_Toc86204791"/>
      <w:bookmarkStart w:id="70" w:name="_Toc86223245"/>
      <w:bookmarkStart w:id="71" w:name="_Toc89163371"/>
      <w:bookmarkStart w:id="72" w:name="_Toc84234437"/>
      <w:bookmarkStart w:id="73" w:name="_Toc108512361"/>
      <w:bookmarkStart w:id="74" w:name="_Toc118774806"/>
      <w:bookmarkStart w:id="75" w:name="_Toc86225294"/>
      <w:bookmarkStart w:id="76" w:name="_Toc84133788"/>
      <w:bookmarkStart w:id="77" w:name="_Toc86726442"/>
      <w:bookmarkStart w:id="78" w:name="_Toc86737932"/>
      <w:bookmarkStart w:id="79" w:name="_Toc110765663"/>
      <w:bookmarkStart w:id="80" w:name="_Toc84234390"/>
      <w:bookmarkStart w:id="81" w:name="_Toc86649725"/>
      <w:bookmarkStart w:id="82" w:name="_Toc120435786"/>
      <w:bookmarkStart w:id="83" w:name="_Toc118212953"/>
      <w:bookmarkStart w:id="84" w:name="_Toc86727358"/>
      <w:bookmarkStart w:id="85" w:name="_Toc110761799"/>
      <w:bookmarkStart w:id="86" w:name="_Toc124325891"/>
      <w:bookmarkStart w:id="87" w:name="_Toc118972651"/>
      <w:bookmarkStart w:id="88" w:name="_Toc110830495"/>
    </w:p>
    <w:p w14:paraId="1D8F598E"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6E735AC" w14:textId="77777777" w:rsidR="00744159" w:rsidRPr="00207544" w:rsidRDefault="00744159" w:rsidP="00711679">
      <w:pPr>
        <w:spacing w:line="360" w:lineRule="auto"/>
        <w:ind w:firstLineChars="200" w:firstLine="480"/>
        <w:rPr>
          <w:kern w:val="0"/>
          <w:sz w:val="24"/>
        </w:rPr>
      </w:pPr>
      <w:r w:rsidRPr="00207544">
        <w:rPr>
          <w:rFonts w:hint="eastAsia"/>
          <w:kern w:val="0"/>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6F02C3CD" w14:textId="77777777" w:rsidR="00744159" w:rsidRPr="00207544" w:rsidRDefault="00744159" w:rsidP="004D184F">
      <w:pPr>
        <w:spacing w:line="360" w:lineRule="auto"/>
        <w:ind w:firstLineChars="200" w:firstLine="480"/>
        <w:rPr>
          <w:kern w:val="0"/>
          <w:sz w:val="24"/>
        </w:rPr>
      </w:pPr>
      <w:r w:rsidRPr="00207544">
        <w:rPr>
          <w:rFonts w:hint="eastAsia"/>
          <w:kern w:val="0"/>
          <w:sz w:val="24"/>
        </w:rPr>
        <w:t>基金管理人、基金托管人应遵守本合同下述（一）和（二）之约定。</w:t>
      </w:r>
    </w:p>
    <w:p w14:paraId="1F6B590E" w14:textId="77777777" w:rsidR="001A6E24" w:rsidRDefault="000739D5" w:rsidP="00207544">
      <w:pPr>
        <w:widowControl/>
        <w:adjustRightInd w:val="0"/>
        <w:snapToGrid w:val="0"/>
        <w:spacing w:line="360" w:lineRule="auto"/>
        <w:ind w:firstLineChars="200" w:firstLine="480"/>
        <w:rPr>
          <w:kern w:val="0"/>
          <w:sz w:val="24"/>
        </w:rPr>
      </w:pPr>
      <w:r>
        <w:rPr>
          <w:rFonts w:hint="eastAsia"/>
          <w:kern w:val="0"/>
          <w:sz w:val="24"/>
        </w:rPr>
        <w:t>（一）选择证券买卖的证券、期货经营机构</w:t>
      </w:r>
    </w:p>
    <w:p w14:paraId="744437F6" w14:textId="77777777" w:rsidR="001A6E24" w:rsidRDefault="000739D5" w:rsidP="00207544">
      <w:pPr>
        <w:widowControl/>
        <w:adjustRightInd w:val="0"/>
        <w:snapToGrid w:val="0"/>
        <w:spacing w:line="360" w:lineRule="auto"/>
        <w:ind w:firstLineChars="200" w:firstLine="480"/>
        <w:rPr>
          <w:kern w:val="0"/>
          <w:sz w:val="24"/>
        </w:rPr>
      </w:pPr>
      <w:r>
        <w:rPr>
          <w:rFonts w:hint="eastAsia"/>
          <w:kern w:val="0"/>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7823DC5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2C7E45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（二）基金投资证券后的清算交收安排</w:t>
      </w:r>
    </w:p>
    <w:p w14:paraId="203D90E9" w14:textId="0F7E34DA" w:rsidR="0094506F" w:rsidRDefault="000739D5">
      <w:pPr>
        <w:widowControl/>
        <w:adjustRightInd w:val="0"/>
        <w:snapToGrid w:val="0"/>
        <w:spacing w:line="360" w:lineRule="auto"/>
        <w:ind w:firstLineChars="200" w:firstLine="480"/>
        <w:rPr>
          <w:kern w:val="0"/>
          <w:sz w:val="24"/>
        </w:rPr>
      </w:pPr>
      <w:r>
        <w:rPr>
          <w:kern w:val="0"/>
          <w:sz w:val="24"/>
        </w:rPr>
        <w:t>1.</w:t>
      </w:r>
      <w:r w:rsidR="00744159" w:rsidRPr="00207544">
        <w:rPr>
          <w:rFonts w:hint="eastAsia"/>
          <w:kern w:val="0"/>
          <w:sz w:val="24"/>
        </w:rPr>
        <w:t xml:space="preserve"> </w:t>
      </w:r>
      <w:r w:rsidR="00744159" w:rsidRPr="00207544">
        <w:rPr>
          <w:rFonts w:hint="eastAsia"/>
          <w:kern w:val="0"/>
          <w:sz w:val="24"/>
        </w:rPr>
        <w:t>结算备付金与保证金</w:t>
      </w:r>
    </w:p>
    <w:p w14:paraId="27A30303" w14:textId="5BF1156D" w:rsidR="00744159" w:rsidRDefault="00744159" w:rsidP="006A75E3">
      <w:pPr>
        <w:widowControl/>
        <w:adjustRightInd w:val="0"/>
        <w:snapToGrid w:val="0"/>
        <w:spacing w:line="360" w:lineRule="auto"/>
        <w:ind w:firstLineChars="200" w:firstLine="480"/>
        <w:rPr>
          <w:kern w:val="0"/>
          <w:sz w:val="24"/>
        </w:rPr>
      </w:pPr>
      <w:r w:rsidRPr="00207544">
        <w:rPr>
          <w:rFonts w:hint="eastAsia"/>
          <w:kern w:val="0"/>
          <w:sz w:val="24"/>
        </w:rPr>
        <w:t>中国证券登记结算有限责任公司分别于每月前</w:t>
      </w:r>
      <w:r w:rsidRPr="00207544">
        <w:rPr>
          <w:kern w:val="0"/>
          <w:sz w:val="24"/>
        </w:rPr>
        <w:t>6</w:t>
      </w:r>
      <w:r w:rsidRPr="00207544">
        <w:rPr>
          <w:kern w:val="0"/>
          <w:sz w:val="24"/>
        </w:rPr>
        <w:t>个交易日</w:t>
      </w:r>
      <w:r w:rsidRPr="00207544">
        <w:rPr>
          <w:rFonts w:hint="eastAsia"/>
          <w:kern w:val="0"/>
          <w:sz w:val="24"/>
        </w:rPr>
        <w:t>及每月前</w:t>
      </w:r>
      <w:r w:rsidRPr="00207544">
        <w:rPr>
          <w:kern w:val="0"/>
          <w:sz w:val="24"/>
        </w:rPr>
        <w:t>3</w:t>
      </w:r>
      <w:r w:rsidRPr="00207544">
        <w:rPr>
          <w:kern w:val="0"/>
          <w:sz w:val="24"/>
        </w:rPr>
        <w:t>个交易日内，对结算参与人最低备付金限额与结算保证金限额进行重新核算、调整。基金托管人</w:t>
      </w:r>
      <w:r w:rsidRPr="00207544">
        <w:rPr>
          <w:rFonts w:hint="eastAsia"/>
          <w:kern w:val="0"/>
          <w:sz w:val="24"/>
        </w:rPr>
        <w:t>应分别于每月前</w:t>
      </w:r>
      <w:r w:rsidRPr="00207544">
        <w:rPr>
          <w:kern w:val="0"/>
          <w:sz w:val="24"/>
        </w:rPr>
        <w:t>3</w:t>
      </w:r>
      <w:r w:rsidRPr="00207544">
        <w:rPr>
          <w:kern w:val="0"/>
          <w:sz w:val="24"/>
        </w:rPr>
        <w:t>个交易日内及结算保证金调整当日通过《资金账户报告》通知基金管理人</w:t>
      </w:r>
      <w:r w:rsidRPr="00207544">
        <w:rPr>
          <w:rFonts w:hint="eastAsia"/>
          <w:kern w:val="0"/>
          <w:sz w:val="24"/>
        </w:rPr>
        <w:t>本基金最低备付金调整金额以及调整后的结算保证金金额。</w:t>
      </w:r>
    </w:p>
    <w:p w14:paraId="3CDB04D8" w14:textId="4ACFD0BC" w:rsidR="00744159" w:rsidRPr="00207544" w:rsidRDefault="000739D5" w:rsidP="00711679">
      <w:pPr>
        <w:spacing w:line="360" w:lineRule="auto"/>
        <w:ind w:firstLineChars="200" w:firstLine="480"/>
        <w:rPr>
          <w:kern w:val="0"/>
          <w:sz w:val="24"/>
        </w:rPr>
      </w:pPr>
      <w:r>
        <w:rPr>
          <w:rFonts w:hint="eastAsia"/>
          <w:kern w:val="0"/>
          <w:sz w:val="24"/>
        </w:rPr>
        <w:t>基金管理人应预留最低备付金和结算保证金，并根据中国证券登记结算有限责任公司确定的实际最低备付金、结算保证金数据为依据安排资金运作，调整所需的现金头寸。</w:t>
      </w:r>
      <w:r w:rsidR="00744159" w:rsidRPr="00207544">
        <w:rPr>
          <w:rFonts w:hint="eastAsia"/>
          <w:kern w:val="0"/>
          <w:sz w:val="24"/>
        </w:rPr>
        <w:t>如因调整最低备付金、结算保证金后造成透支，基金管理人应于下列时点补足透支金额：</w:t>
      </w:r>
    </w:p>
    <w:p w14:paraId="3955AA49" w14:textId="40950E99" w:rsidR="00744159" w:rsidRPr="00207544" w:rsidRDefault="00744159" w:rsidP="00711679">
      <w:pPr>
        <w:spacing w:line="360" w:lineRule="auto"/>
        <w:ind w:firstLineChars="200" w:firstLine="480"/>
        <w:rPr>
          <w:kern w:val="0"/>
          <w:sz w:val="24"/>
        </w:rPr>
      </w:pPr>
      <w:r w:rsidRPr="00207544">
        <w:rPr>
          <w:kern w:val="0"/>
          <w:sz w:val="24"/>
        </w:rPr>
        <w:lastRenderedPageBreak/>
        <w:t>固定备付金比例</w:t>
      </w:r>
      <w:r w:rsidRPr="00207544">
        <w:rPr>
          <w:rFonts w:hint="eastAsia"/>
          <w:kern w:val="0"/>
          <w:sz w:val="24"/>
        </w:rPr>
        <w:t>计收方式下，基金管理人应在调整最低备付金、结算保证金当日上午</w:t>
      </w:r>
      <w:r w:rsidRPr="00207544">
        <w:rPr>
          <w:kern w:val="0"/>
          <w:sz w:val="24"/>
        </w:rPr>
        <w:t>11</w:t>
      </w:r>
      <w:r w:rsidRPr="00207544">
        <w:rPr>
          <w:rFonts w:hint="eastAsia"/>
          <w:kern w:val="0"/>
          <w:sz w:val="24"/>
        </w:rPr>
        <w:t>：</w:t>
      </w:r>
      <w:r w:rsidRPr="00207544">
        <w:rPr>
          <w:kern w:val="0"/>
          <w:sz w:val="24"/>
        </w:rPr>
        <w:t>00</w:t>
      </w:r>
      <w:r w:rsidRPr="00207544">
        <w:rPr>
          <w:kern w:val="0"/>
          <w:sz w:val="24"/>
        </w:rPr>
        <w:t>之前补足</w:t>
      </w:r>
      <w:r w:rsidRPr="00207544">
        <w:rPr>
          <w:rFonts w:hint="eastAsia"/>
          <w:kern w:val="0"/>
          <w:sz w:val="24"/>
        </w:rPr>
        <w:t>金额。</w:t>
      </w:r>
    </w:p>
    <w:p w14:paraId="69F7A66F" w14:textId="2CE8F339" w:rsidR="001A6E24" w:rsidRDefault="00744159" w:rsidP="006A75E3">
      <w:pPr>
        <w:widowControl/>
        <w:adjustRightInd w:val="0"/>
        <w:snapToGrid w:val="0"/>
        <w:spacing w:line="360" w:lineRule="auto"/>
        <w:ind w:firstLineChars="200" w:firstLine="480"/>
        <w:rPr>
          <w:kern w:val="0"/>
          <w:sz w:val="24"/>
        </w:rPr>
      </w:pPr>
      <w:r w:rsidRPr="00207544">
        <w:rPr>
          <w:kern w:val="0"/>
          <w:sz w:val="24"/>
        </w:rPr>
        <w:t>2</w:t>
      </w:r>
      <w:r w:rsidR="00EE58B8">
        <w:rPr>
          <w:rFonts w:hint="eastAsia"/>
          <w:kern w:val="0"/>
          <w:sz w:val="24"/>
        </w:rPr>
        <w:t>.</w:t>
      </w:r>
      <w:r w:rsidR="00EE58B8">
        <w:rPr>
          <w:kern w:val="0"/>
          <w:sz w:val="24"/>
        </w:rPr>
        <w:t xml:space="preserve"> </w:t>
      </w:r>
      <w:r w:rsidRPr="00207544">
        <w:rPr>
          <w:kern w:val="0"/>
          <w:sz w:val="24"/>
        </w:rPr>
        <w:t>清算交收</w:t>
      </w:r>
    </w:p>
    <w:p w14:paraId="5CB8E510" w14:textId="77777777" w:rsidR="001A6E24" w:rsidRDefault="000739D5" w:rsidP="00711679">
      <w:pPr>
        <w:widowControl/>
        <w:adjustRightInd w:val="0"/>
        <w:snapToGrid w:val="0"/>
        <w:spacing w:line="360" w:lineRule="auto"/>
        <w:ind w:firstLineChars="200" w:firstLine="480"/>
        <w:rPr>
          <w:kern w:val="0"/>
          <w:sz w:val="24"/>
        </w:rPr>
      </w:pPr>
      <w:r>
        <w:rPr>
          <w:rFonts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C387081" w14:textId="661F6FAA" w:rsidR="001A6E24" w:rsidRDefault="000739D5" w:rsidP="0032307D">
      <w:pPr>
        <w:widowControl/>
        <w:adjustRightInd w:val="0"/>
        <w:snapToGrid w:val="0"/>
        <w:spacing w:line="360" w:lineRule="auto"/>
        <w:ind w:firstLineChars="200" w:firstLine="480"/>
        <w:rPr>
          <w:kern w:val="0"/>
          <w:sz w:val="24"/>
        </w:rPr>
      </w:pPr>
      <w:r>
        <w:rPr>
          <w:rFonts w:hint="eastAsia"/>
          <w:kern w:val="0"/>
          <w:sz w:val="24"/>
        </w:rPr>
        <w:t>如果因为基金托管人过错在清算上造成基金财产的直接损失，应由基金托管人负责赔偿</w:t>
      </w:r>
      <w:r w:rsidR="00744159" w:rsidRPr="00207544">
        <w:rPr>
          <w:rFonts w:hint="eastAsia"/>
          <w:kern w:val="0"/>
          <w:sz w:val="24"/>
        </w:rPr>
        <w:t>，但因中国人民银行、中国结算和银行间市场登记结算机构资金结算系统以及其他机构的结算系统发生故障等</w:t>
      </w:r>
      <w:proofErr w:type="gramStart"/>
      <w:r w:rsidR="00744159" w:rsidRPr="00207544">
        <w:rPr>
          <w:rFonts w:hint="eastAsia"/>
          <w:kern w:val="0"/>
          <w:sz w:val="24"/>
        </w:rPr>
        <w:t>非基金</w:t>
      </w:r>
      <w:proofErr w:type="gramEnd"/>
      <w:r w:rsidR="00744159" w:rsidRPr="00207544">
        <w:rPr>
          <w:rFonts w:hint="eastAsia"/>
          <w:kern w:val="0"/>
          <w:sz w:val="24"/>
        </w:rPr>
        <w:t>托管人的过错造成清算资金无法按时到账的情形，基金托管人免责</w:t>
      </w:r>
      <w:r>
        <w:rPr>
          <w:rFonts w:hint="eastAsia"/>
          <w:kern w:val="0"/>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hint="eastAsia"/>
          <w:kern w:val="0"/>
          <w:sz w:val="24"/>
        </w:rPr>
        <w:t>券</w:t>
      </w:r>
      <w:proofErr w:type="gramEnd"/>
      <w:r>
        <w:rPr>
          <w:rFonts w:hint="eastAsia"/>
          <w:kern w:val="0"/>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5EEA2A03" w14:textId="3D7D796F" w:rsidR="00744159" w:rsidRPr="00207544" w:rsidRDefault="000739D5" w:rsidP="0032307D">
      <w:pPr>
        <w:spacing w:line="360" w:lineRule="auto"/>
        <w:ind w:firstLineChars="200" w:firstLine="480"/>
        <w:rPr>
          <w:kern w:val="0"/>
          <w:sz w:val="24"/>
        </w:rPr>
      </w:pPr>
      <w:r>
        <w:rPr>
          <w:rFonts w:hint="eastAsia"/>
          <w:kern w:val="0"/>
          <w:sz w:val="24"/>
        </w:rPr>
        <w:t>基金管理人应采取合理、必要措施，确保</w:t>
      </w:r>
      <w:r>
        <w:rPr>
          <w:kern w:val="0"/>
          <w:sz w:val="24"/>
        </w:rPr>
        <w:t>T</w:t>
      </w:r>
      <w:r>
        <w:rPr>
          <w:rFonts w:hint="eastAsia"/>
          <w:kern w:val="0"/>
          <w:sz w:val="24"/>
        </w:rPr>
        <w:t>日日终有足够的资金头寸完成</w:t>
      </w:r>
      <w:r>
        <w:rPr>
          <w:kern w:val="0"/>
          <w:sz w:val="24"/>
        </w:rPr>
        <w:t>T+1</w:t>
      </w:r>
      <w:r>
        <w:rPr>
          <w:rFonts w:hint="eastAsia"/>
          <w:kern w:val="0"/>
          <w:sz w:val="24"/>
        </w:rPr>
        <w:t>日中国证券登记结算有限责任公司的资金交收；如因基金管理</w:t>
      </w:r>
      <w:proofErr w:type="gramStart"/>
      <w:r>
        <w:rPr>
          <w:rFonts w:hint="eastAsia"/>
          <w:kern w:val="0"/>
          <w:sz w:val="24"/>
        </w:rPr>
        <w:t>人原因</w:t>
      </w:r>
      <w:proofErr w:type="gramEnd"/>
      <w:r>
        <w:rPr>
          <w:rFonts w:hint="eastAsia"/>
          <w:kern w:val="0"/>
          <w:sz w:val="24"/>
        </w:rPr>
        <w:t>导致资金头寸不足，</w:t>
      </w:r>
      <w:r w:rsidR="00744159" w:rsidRPr="00207544">
        <w:rPr>
          <w:rFonts w:hint="eastAsia"/>
          <w:kern w:val="0"/>
          <w:sz w:val="24"/>
        </w:rPr>
        <w:t>基金管理人应于下列时点补足透支金额：</w:t>
      </w:r>
    </w:p>
    <w:p w14:paraId="585AA3D5" w14:textId="03E5F0F8" w:rsidR="00744159" w:rsidRPr="00207544" w:rsidRDefault="00744159" w:rsidP="00064D2D">
      <w:pPr>
        <w:spacing w:line="360" w:lineRule="auto"/>
        <w:ind w:firstLineChars="200" w:firstLine="480"/>
        <w:rPr>
          <w:kern w:val="0"/>
          <w:sz w:val="24"/>
        </w:rPr>
      </w:pPr>
      <w:r w:rsidRPr="00207544">
        <w:rPr>
          <w:kern w:val="0"/>
          <w:sz w:val="24"/>
        </w:rPr>
        <w:t>固定备付金比例计收方式下，</w:t>
      </w:r>
      <w:r w:rsidRPr="00207544">
        <w:rPr>
          <w:rFonts w:hint="eastAsia"/>
          <w:kern w:val="0"/>
          <w:sz w:val="24"/>
        </w:rPr>
        <w:t>基金</w:t>
      </w:r>
      <w:r w:rsidRPr="00207544">
        <w:rPr>
          <w:kern w:val="0"/>
          <w:sz w:val="24"/>
        </w:rPr>
        <w:t>管理人应</w:t>
      </w:r>
      <w:r w:rsidRPr="00207544">
        <w:rPr>
          <w:rFonts w:hint="eastAsia"/>
          <w:kern w:val="0"/>
          <w:sz w:val="24"/>
        </w:rPr>
        <w:t>最晚于资金</w:t>
      </w:r>
      <w:proofErr w:type="gramStart"/>
      <w:r w:rsidRPr="00207544">
        <w:rPr>
          <w:rFonts w:hint="eastAsia"/>
          <w:kern w:val="0"/>
          <w:sz w:val="24"/>
        </w:rPr>
        <w:t>交收日上午</w:t>
      </w:r>
      <w:proofErr w:type="gramEnd"/>
      <w:r w:rsidRPr="00207544">
        <w:rPr>
          <w:kern w:val="0"/>
          <w:sz w:val="24"/>
        </w:rPr>
        <w:t>11</w:t>
      </w:r>
      <w:r w:rsidRPr="00207544">
        <w:rPr>
          <w:rFonts w:hint="eastAsia"/>
          <w:kern w:val="0"/>
          <w:sz w:val="24"/>
        </w:rPr>
        <w:t>：</w:t>
      </w:r>
      <w:r w:rsidRPr="00207544">
        <w:rPr>
          <w:kern w:val="0"/>
          <w:sz w:val="24"/>
        </w:rPr>
        <w:t>00</w:t>
      </w:r>
      <w:r w:rsidRPr="00207544">
        <w:rPr>
          <w:kern w:val="0"/>
          <w:sz w:val="24"/>
        </w:rPr>
        <w:t>前补足金额。</w:t>
      </w:r>
    </w:p>
    <w:p w14:paraId="5C40C899" w14:textId="742C711C" w:rsidR="001A6E24" w:rsidRDefault="000739D5" w:rsidP="0032307D">
      <w:pPr>
        <w:widowControl/>
        <w:adjustRightInd w:val="0"/>
        <w:snapToGrid w:val="0"/>
        <w:spacing w:line="360" w:lineRule="auto"/>
        <w:ind w:firstLineChars="200" w:firstLine="480"/>
        <w:rPr>
          <w:kern w:val="0"/>
          <w:sz w:val="24"/>
        </w:rPr>
      </w:pPr>
      <w:r>
        <w:rPr>
          <w:rFonts w:hint="eastAsia"/>
          <w:kern w:val="0"/>
          <w:sz w:val="24"/>
        </w:rPr>
        <w:t>如果</w:t>
      </w:r>
      <w:r w:rsidR="00744159">
        <w:rPr>
          <w:rFonts w:hint="eastAsia"/>
          <w:kern w:val="0"/>
          <w:sz w:val="24"/>
        </w:rPr>
        <w:t>基金管理人</w:t>
      </w:r>
      <w:r>
        <w:rPr>
          <w:rFonts w:hint="eastAsia"/>
          <w:kern w:val="0"/>
          <w:sz w:val="24"/>
        </w:rPr>
        <w:t>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C5C773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根据中国证券登记结算有限责任公司结算规定，基金管理人在进行融资回购业务时，用于融资回购的债券将作为偿还融资回购到期购回款的质押</w:t>
      </w:r>
      <w:proofErr w:type="gramStart"/>
      <w:r>
        <w:rPr>
          <w:rFonts w:hint="eastAsia"/>
          <w:kern w:val="0"/>
          <w:sz w:val="24"/>
        </w:rPr>
        <w:t>券</w:t>
      </w:r>
      <w:proofErr w:type="gramEnd"/>
      <w:r>
        <w:rPr>
          <w:rFonts w:hint="eastAsia"/>
          <w:kern w:val="0"/>
          <w:sz w:val="24"/>
        </w:rPr>
        <w:t>。如因基金管理</w:t>
      </w:r>
      <w:proofErr w:type="gramStart"/>
      <w:r>
        <w:rPr>
          <w:rFonts w:hint="eastAsia"/>
          <w:kern w:val="0"/>
          <w:sz w:val="24"/>
        </w:rPr>
        <w:t>人原因</w:t>
      </w:r>
      <w:proofErr w:type="gramEnd"/>
      <w:r>
        <w:rPr>
          <w:rFonts w:hint="eastAsia"/>
          <w:kern w:val="0"/>
          <w:sz w:val="24"/>
        </w:rPr>
        <w:t>造成债券回购交收违约或因折算率变化造成质押欠库，导致中国证券登记结算有限责任公司欠库扣款或对质押</w:t>
      </w:r>
      <w:proofErr w:type="gramStart"/>
      <w:r>
        <w:rPr>
          <w:rFonts w:hint="eastAsia"/>
          <w:kern w:val="0"/>
          <w:sz w:val="24"/>
        </w:rPr>
        <w:t>券</w:t>
      </w:r>
      <w:proofErr w:type="gramEnd"/>
      <w:r>
        <w:rPr>
          <w:rFonts w:hint="eastAsia"/>
          <w:kern w:val="0"/>
          <w:sz w:val="24"/>
        </w:rPr>
        <w:t>进行处置造成的投资风险和损失由基金管理人承担。</w:t>
      </w:r>
    </w:p>
    <w:p w14:paraId="42564675" w14:textId="5450265F" w:rsidR="001A6E24" w:rsidRDefault="00744159">
      <w:pPr>
        <w:widowControl/>
        <w:adjustRightInd w:val="0"/>
        <w:snapToGrid w:val="0"/>
        <w:spacing w:line="360" w:lineRule="auto"/>
        <w:ind w:firstLineChars="200" w:firstLine="480"/>
        <w:rPr>
          <w:kern w:val="0"/>
          <w:sz w:val="24"/>
        </w:rPr>
      </w:pPr>
      <w:r>
        <w:rPr>
          <w:rFonts w:hint="eastAsia"/>
          <w:kern w:val="0"/>
          <w:sz w:val="24"/>
        </w:rPr>
        <w:lastRenderedPageBreak/>
        <w:t>对于中国证券登记结算有限责任公司实行</w:t>
      </w:r>
      <w:r>
        <w:rPr>
          <w:kern w:val="0"/>
          <w:sz w:val="24"/>
        </w:rPr>
        <w:t>T+0</w:t>
      </w:r>
      <w:r>
        <w:rPr>
          <w:rFonts w:hint="eastAsia"/>
          <w:kern w:val="0"/>
          <w:sz w:val="24"/>
        </w:rPr>
        <w:t>非担保交收的业务，基金管理人应在交易日</w:t>
      </w:r>
      <w:r>
        <w:rPr>
          <w:kern w:val="0"/>
          <w:sz w:val="24"/>
        </w:rPr>
        <w:t>14</w:t>
      </w:r>
      <w:r>
        <w:rPr>
          <w:rFonts w:hint="eastAsia"/>
          <w:kern w:val="0"/>
          <w:sz w:val="24"/>
        </w:rPr>
        <w:t>：</w:t>
      </w:r>
      <w:r>
        <w:rPr>
          <w:kern w:val="0"/>
          <w:sz w:val="24"/>
        </w:rPr>
        <w:t>00</w:t>
      </w:r>
      <w:r>
        <w:rPr>
          <w:rFonts w:hint="eastAsia"/>
          <w:kern w:val="0"/>
          <w:sz w:val="24"/>
        </w:rPr>
        <w:t>前将划款指令发送至托管人。因基金管理人指令传输不及时，致使资金未能及时划入中国证券登记结算有限责任公司所造成的损失由基金管理人承担，包括赔偿在该市场引起其他托管客户交易失败、赔偿因占用结算参与人最低备付金带来的利息损失。</w:t>
      </w:r>
    </w:p>
    <w:p w14:paraId="02D9C94E"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交易记录、资金和证券</w:t>
      </w:r>
      <w:r>
        <w:rPr>
          <w:rFonts w:hint="eastAsia"/>
          <w:kern w:val="0"/>
          <w:sz w:val="24"/>
        </w:rPr>
        <w:t>/</w:t>
      </w:r>
      <w:r>
        <w:rPr>
          <w:rFonts w:hint="eastAsia"/>
          <w:kern w:val="0"/>
          <w:sz w:val="24"/>
        </w:rPr>
        <w:t>期货账目核对的时间和方式</w:t>
      </w:r>
    </w:p>
    <w:p w14:paraId="780C5DC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）交易记录的核对</w:t>
      </w:r>
    </w:p>
    <w:p w14:paraId="0D77384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按日进行交易记录的核对。每个估值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1B5B14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）资金账目的核对</w:t>
      </w:r>
    </w:p>
    <w:p w14:paraId="225E322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资金账目按日核实。</w:t>
      </w:r>
    </w:p>
    <w:p w14:paraId="12B6E1B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）证券</w:t>
      </w:r>
      <w:r>
        <w:rPr>
          <w:rFonts w:hint="eastAsia"/>
          <w:kern w:val="0"/>
          <w:sz w:val="24"/>
        </w:rPr>
        <w:t>/</w:t>
      </w:r>
      <w:r>
        <w:rPr>
          <w:rFonts w:hint="eastAsia"/>
          <w:kern w:val="0"/>
          <w:sz w:val="24"/>
        </w:rPr>
        <w:t>期货账目的核对</w:t>
      </w:r>
    </w:p>
    <w:p w14:paraId="0CFD809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基金管理人和基金托管人每交易日结束后核对基金证券</w:t>
      </w:r>
      <w:r>
        <w:rPr>
          <w:rFonts w:hint="eastAsia"/>
          <w:kern w:val="0"/>
          <w:sz w:val="24"/>
        </w:rPr>
        <w:t>/</w:t>
      </w:r>
      <w:r>
        <w:rPr>
          <w:rFonts w:hint="eastAsia"/>
          <w:kern w:val="0"/>
          <w:sz w:val="24"/>
        </w:rPr>
        <w:t>期货账目，确保双方账目相符。基金管理人和基金托管人每月月末核对实物证券账目。</w:t>
      </w:r>
    </w:p>
    <w:p w14:paraId="743A342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（三）基金申购和赎回业务处理的基本规定</w:t>
      </w:r>
    </w:p>
    <w:p w14:paraId="77EEE70C"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基金份额申购、赎回的确认、清算由基金管理人或其委托的登记机构负责。</w:t>
      </w:r>
    </w:p>
    <w:p w14:paraId="2322AA60"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3EEF7D3"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基金管理人应保证本基金（或本基金管理人委托）的登记机构每个工作日</w:t>
      </w:r>
      <w:r>
        <w:rPr>
          <w:kern w:val="0"/>
          <w:sz w:val="24"/>
        </w:rPr>
        <w:t>15:00</w:t>
      </w:r>
      <w:r>
        <w:rPr>
          <w:rFonts w:hint="eastAsia"/>
          <w:kern w:val="0"/>
          <w:sz w:val="24"/>
        </w:rPr>
        <w:t>前向基金托管人发送前一开放</w:t>
      </w:r>
      <w:proofErr w:type="gramStart"/>
      <w:r>
        <w:rPr>
          <w:rFonts w:hint="eastAsia"/>
          <w:kern w:val="0"/>
          <w:sz w:val="24"/>
        </w:rPr>
        <w:t>日上述</w:t>
      </w:r>
      <w:proofErr w:type="gramEnd"/>
      <w:r>
        <w:rPr>
          <w:rFonts w:hint="eastAsia"/>
          <w:kern w:val="0"/>
          <w:sz w:val="24"/>
        </w:rPr>
        <w:t>有关数据，并保证相关数据的准确、完整。</w:t>
      </w:r>
    </w:p>
    <w:p w14:paraId="01A6100E"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登记机构应通过与基金托管人建立的加密系统发送有关数据</w:t>
      </w:r>
      <w:r>
        <w:rPr>
          <w:kern w:val="0"/>
          <w:sz w:val="24"/>
        </w:rPr>
        <w:t>(</w:t>
      </w:r>
      <w:r>
        <w:rPr>
          <w:rFonts w:hint="eastAsia"/>
          <w:kern w:val="0"/>
          <w:sz w:val="24"/>
        </w:rPr>
        <w:t>包括电子数据和盖章生效的纸制清算汇总表</w:t>
      </w:r>
      <w:r>
        <w:rPr>
          <w:kern w:val="0"/>
          <w:sz w:val="24"/>
        </w:rPr>
        <w:t>)</w:t>
      </w:r>
      <w:r>
        <w:rPr>
          <w:rFonts w:hint="eastAsia"/>
          <w:kern w:val="0"/>
          <w:sz w:val="24"/>
        </w:rPr>
        <w:t>，如因各种原因，该系统无法正常发送，双方可协商解决处理方式。基金管理人向基金托管人发送的数据，双方各自按有关规定保存。</w:t>
      </w:r>
    </w:p>
    <w:p w14:paraId="5AC2979D" w14:textId="77777777" w:rsidR="001A6E24" w:rsidRDefault="000739D5">
      <w:pPr>
        <w:widowControl/>
        <w:adjustRightInd w:val="0"/>
        <w:snapToGrid w:val="0"/>
        <w:spacing w:line="360" w:lineRule="auto"/>
        <w:ind w:firstLineChars="200" w:firstLine="480"/>
        <w:rPr>
          <w:kern w:val="0"/>
          <w:sz w:val="24"/>
        </w:rPr>
      </w:pPr>
      <w:r>
        <w:rPr>
          <w:kern w:val="0"/>
          <w:sz w:val="24"/>
        </w:rPr>
        <w:lastRenderedPageBreak/>
        <w:t>5.</w:t>
      </w:r>
      <w:r>
        <w:rPr>
          <w:rFonts w:hint="eastAsia"/>
          <w:kern w:val="0"/>
          <w:sz w:val="24"/>
        </w:rPr>
        <w:t>如基金管理人委托其他机构办理本基金的登记业务，应保证上述相关事宜按时进行。否则，由基金管理人承担相应的责任。</w:t>
      </w:r>
    </w:p>
    <w:p w14:paraId="763F5A85" w14:textId="77777777" w:rsidR="001A6E24" w:rsidRDefault="000739D5">
      <w:pPr>
        <w:widowControl/>
        <w:adjustRightInd w:val="0"/>
        <w:snapToGrid w:val="0"/>
        <w:spacing w:line="360" w:lineRule="auto"/>
        <w:ind w:firstLineChars="200" w:firstLine="480"/>
        <w:rPr>
          <w:kern w:val="0"/>
          <w:sz w:val="24"/>
        </w:rPr>
      </w:pPr>
      <w:r>
        <w:rPr>
          <w:kern w:val="0"/>
          <w:sz w:val="24"/>
        </w:rPr>
        <w:t>6.</w:t>
      </w:r>
      <w:r>
        <w:rPr>
          <w:rFonts w:hint="eastAsia"/>
          <w:kern w:val="0"/>
          <w:sz w:val="24"/>
        </w:rPr>
        <w:t>关于清算专用账户的设立和管理</w:t>
      </w:r>
    </w:p>
    <w:p w14:paraId="7780889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为满足申购、赎回及分红资金汇划的需要，由基金管理人开立资金清算的专用账户，该账户由登记机构管理。</w:t>
      </w:r>
    </w:p>
    <w:p w14:paraId="1905E93F" w14:textId="77777777" w:rsidR="001A6E24" w:rsidRDefault="000739D5">
      <w:pPr>
        <w:widowControl/>
        <w:adjustRightInd w:val="0"/>
        <w:snapToGrid w:val="0"/>
        <w:spacing w:line="360" w:lineRule="auto"/>
        <w:ind w:firstLineChars="200" w:firstLine="480"/>
        <w:rPr>
          <w:kern w:val="0"/>
          <w:sz w:val="24"/>
        </w:rPr>
      </w:pPr>
      <w:r>
        <w:rPr>
          <w:kern w:val="0"/>
          <w:sz w:val="24"/>
        </w:rPr>
        <w:t>7.</w:t>
      </w:r>
      <w:r>
        <w:rPr>
          <w:rFonts w:hint="eastAsia"/>
          <w:kern w:val="0"/>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2D1D342" w14:textId="77777777" w:rsidR="001A6E24" w:rsidRDefault="000739D5">
      <w:pPr>
        <w:widowControl/>
        <w:adjustRightInd w:val="0"/>
        <w:snapToGrid w:val="0"/>
        <w:spacing w:line="360" w:lineRule="auto"/>
        <w:ind w:firstLineChars="200" w:firstLine="480"/>
        <w:rPr>
          <w:kern w:val="0"/>
          <w:sz w:val="24"/>
        </w:rPr>
      </w:pPr>
      <w:r>
        <w:rPr>
          <w:kern w:val="0"/>
          <w:sz w:val="24"/>
        </w:rPr>
        <w:t>8.</w:t>
      </w:r>
      <w:r>
        <w:rPr>
          <w:rFonts w:hint="eastAsia"/>
          <w:kern w:val="0"/>
          <w:sz w:val="24"/>
        </w:rPr>
        <w:t>赎回和分红资金划拨规定</w:t>
      </w:r>
    </w:p>
    <w:p w14:paraId="16A2356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拨付</w:t>
      </w:r>
      <w:proofErr w:type="gramStart"/>
      <w:r>
        <w:rPr>
          <w:rFonts w:hint="eastAsia"/>
          <w:kern w:val="0"/>
          <w:sz w:val="24"/>
        </w:rPr>
        <w:t>赎回款</w:t>
      </w:r>
      <w:proofErr w:type="gramEnd"/>
      <w:r>
        <w:rPr>
          <w:rFonts w:hint="eastAsia"/>
          <w:kern w:val="0"/>
          <w:sz w:val="24"/>
        </w:rPr>
        <w:t>或进行基金分红时，如基金资金账户有足够的资金，基金托管人应按时拨付；因基金资金账户没有足够的资金，导致基金托管人不能按时拨付，如</w:t>
      </w:r>
      <w:proofErr w:type="gramStart"/>
      <w:r>
        <w:rPr>
          <w:rFonts w:hint="eastAsia"/>
          <w:kern w:val="0"/>
          <w:sz w:val="24"/>
        </w:rPr>
        <w:t>系基金</w:t>
      </w:r>
      <w:proofErr w:type="gramEnd"/>
      <w:r>
        <w:rPr>
          <w:rFonts w:hint="eastAsia"/>
          <w:kern w:val="0"/>
          <w:sz w:val="24"/>
        </w:rPr>
        <w:t>管理人的原因造成，责任由基金管理人承担，基金托管人不承担垫款义务。</w:t>
      </w:r>
    </w:p>
    <w:p w14:paraId="67E6E975" w14:textId="77777777" w:rsidR="001A6E24" w:rsidRDefault="000739D5">
      <w:pPr>
        <w:widowControl/>
        <w:adjustRightInd w:val="0"/>
        <w:snapToGrid w:val="0"/>
        <w:spacing w:line="360" w:lineRule="auto"/>
        <w:ind w:firstLineChars="200" w:firstLine="480"/>
        <w:rPr>
          <w:kern w:val="0"/>
          <w:sz w:val="24"/>
        </w:rPr>
      </w:pPr>
      <w:r>
        <w:rPr>
          <w:kern w:val="0"/>
          <w:sz w:val="24"/>
        </w:rPr>
        <w:t>9.</w:t>
      </w:r>
      <w:r>
        <w:rPr>
          <w:rFonts w:hint="eastAsia"/>
          <w:kern w:val="0"/>
          <w:sz w:val="24"/>
        </w:rPr>
        <w:t>资金指令</w:t>
      </w:r>
    </w:p>
    <w:p w14:paraId="20972D2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除申购款项到达基金资金账户需双方按约定方式对账外，回购到期付款和与投资有关的付款、赎回和分红资金划拨时，基金管理人需向基金托管人下达指令。</w:t>
      </w:r>
    </w:p>
    <w:p w14:paraId="62AD2B5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资金指令的格式、内容、发送、接收和确认方式等与投资指令相同。</w:t>
      </w:r>
    </w:p>
    <w:p w14:paraId="28642BC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w:t>
      </w:r>
      <w:proofErr w:type="gramStart"/>
      <w:r>
        <w:rPr>
          <w:rFonts w:hint="eastAsia"/>
          <w:kern w:val="0"/>
          <w:sz w:val="24"/>
        </w:rPr>
        <w:t>申赎净额</w:t>
      </w:r>
      <w:proofErr w:type="gramEnd"/>
      <w:r>
        <w:rPr>
          <w:rFonts w:hint="eastAsia"/>
          <w:kern w:val="0"/>
          <w:sz w:val="24"/>
        </w:rPr>
        <w:t>结算</w:t>
      </w:r>
    </w:p>
    <w:p w14:paraId="25EF56B8" w14:textId="39A4DC5E" w:rsidR="001A6E24" w:rsidRDefault="000739D5">
      <w:pPr>
        <w:widowControl/>
        <w:adjustRightInd w:val="0"/>
        <w:snapToGrid w:val="0"/>
        <w:spacing w:line="360" w:lineRule="auto"/>
        <w:ind w:firstLineChars="200" w:firstLine="480"/>
        <w:rPr>
          <w:kern w:val="0"/>
          <w:sz w:val="24"/>
        </w:rPr>
      </w:pPr>
      <w:r>
        <w:rPr>
          <w:rFonts w:hint="eastAsia"/>
          <w:kern w:val="0"/>
          <w:sz w:val="24"/>
        </w:rPr>
        <w:t>基金托管账户与“基金清算账户”间的资金结算遵循“全额清算、净额交收”的原则，每日（</w:t>
      </w:r>
      <w:r>
        <w:rPr>
          <w:kern w:val="0"/>
          <w:sz w:val="24"/>
        </w:rPr>
        <w:t>T</w:t>
      </w:r>
      <w:r>
        <w:rPr>
          <w:rFonts w:hint="eastAsia"/>
          <w:kern w:val="0"/>
          <w:sz w:val="24"/>
        </w:rPr>
        <w:t>日：资金交收日，下同）按照托管账户应收资金（包括申购申请对应申购金额与基金转换</w:t>
      </w:r>
      <w:proofErr w:type="gramStart"/>
      <w:r>
        <w:rPr>
          <w:rFonts w:hint="eastAsia"/>
          <w:kern w:val="0"/>
          <w:sz w:val="24"/>
        </w:rPr>
        <w:t>入申请</w:t>
      </w:r>
      <w:proofErr w:type="gramEnd"/>
      <w:r>
        <w:rPr>
          <w:rFonts w:hint="eastAsia"/>
          <w:kern w:val="0"/>
          <w:sz w:val="24"/>
        </w:rPr>
        <w:t>对应金额之和）与托管账户</w:t>
      </w:r>
      <w:r>
        <w:rPr>
          <w:kern w:val="0"/>
          <w:sz w:val="24"/>
        </w:rPr>
        <w:t>当日</w:t>
      </w:r>
      <w:r>
        <w:rPr>
          <w:rFonts w:hint="eastAsia"/>
          <w:kern w:val="0"/>
          <w:sz w:val="24"/>
        </w:rPr>
        <w:t>应付资金（包括赎回申请对应赎回金额与基金转换出申请对应金额之和）的差额来确定托管账户净应收额或净应付额，以此确定资金交收额。当存在托管账户净应收额时，基金管理人应在</w:t>
      </w:r>
      <w:r>
        <w:rPr>
          <w:kern w:val="0"/>
          <w:sz w:val="24"/>
        </w:rPr>
        <w:t>T</w:t>
      </w:r>
      <w:r>
        <w:rPr>
          <w:rFonts w:hint="eastAsia"/>
          <w:kern w:val="0"/>
          <w:sz w:val="24"/>
        </w:rPr>
        <w:t>日</w:t>
      </w:r>
      <w:r>
        <w:rPr>
          <w:kern w:val="0"/>
          <w:sz w:val="24"/>
        </w:rPr>
        <w:t>15:00</w:t>
      </w:r>
      <w:r>
        <w:rPr>
          <w:rFonts w:hint="eastAsia"/>
          <w:kern w:val="0"/>
          <w:sz w:val="24"/>
        </w:rPr>
        <w:t>之前从基金清算账户划到基金托管账户；当存在托管账户净应付额时，基金管理人应在</w:t>
      </w:r>
      <w:r>
        <w:rPr>
          <w:kern w:val="0"/>
          <w:sz w:val="24"/>
        </w:rPr>
        <w:t>T-1</w:t>
      </w:r>
      <w:r>
        <w:rPr>
          <w:rFonts w:hint="eastAsia"/>
          <w:kern w:val="0"/>
          <w:sz w:val="24"/>
        </w:rPr>
        <w:t>日将划款指令发送给基金托管人，基金托管人按基金管理人的划款指令将托管账户净应付额在</w:t>
      </w:r>
      <w:r>
        <w:rPr>
          <w:kern w:val="0"/>
          <w:sz w:val="24"/>
        </w:rPr>
        <w:t>T</w:t>
      </w:r>
      <w:r>
        <w:rPr>
          <w:rFonts w:hint="eastAsia"/>
          <w:kern w:val="0"/>
          <w:sz w:val="24"/>
        </w:rPr>
        <w:t>日</w:t>
      </w:r>
      <w:r>
        <w:rPr>
          <w:kern w:val="0"/>
          <w:sz w:val="24"/>
        </w:rPr>
        <w:t>12:00</w:t>
      </w:r>
      <w:r>
        <w:rPr>
          <w:rFonts w:hint="eastAsia"/>
          <w:kern w:val="0"/>
          <w:sz w:val="24"/>
        </w:rPr>
        <w:t>之前</w:t>
      </w:r>
      <w:proofErr w:type="gramStart"/>
      <w:r>
        <w:rPr>
          <w:rFonts w:hint="eastAsia"/>
          <w:kern w:val="0"/>
          <w:sz w:val="24"/>
        </w:rPr>
        <w:t>划往基金</w:t>
      </w:r>
      <w:proofErr w:type="gramEnd"/>
      <w:r>
        <w:rPr>
          <w:rFonts w:hint="eastAsia"/>
          <w:kern w:val="0"/>
          <w:sz w:val="24"/>
        </w:rPr>
        <w:t>清算账户。</w:t>
      </w:r>
    </w:p>
    <w:p w14:paraId="69DE8EE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（五）基金转换</w:t>
      </w:r>
    </w:p>
    <w:p w14:paraId="1A1C5D3B"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在本基金与基金管理人管理的其它基金开展转换业务之前，基金管理人应函告基金托管人并就相关事宜进行协商。</w:t>
      </w:r>
    </w:p>
    <w:p w14:paraId="4D314DD7" w14:textId="77777777" w:rsidR="001A6E24" w:rsidRDefault="000739D5">
      <w:pPr>
        <w:widowControl/>
        <w:adjustRightInd w:val="0"/>
        <w:snapToGrid w:val="0"/>
        <w:spacing w:line="360" w:lineRule="auto"/>
        <w:ind w:firstLineChars="200" w:firstLine="480"/>
        <w:rPr>
          <w:kern w:val="0"/>
          <w:sz w:val="24"/>
        </w:rPr>
      </w:pPr>
      <w:r>
        <w:rPr>
          <w:kern w:val="0"/>
          <w:sz w:val="24"/>
        </w:rPr>
        <w:lastRenderedPageBreak/>
        <w:t>2.</w:t>
      </w:r>
      <w:r>
        <w:rPr>
          <w:rFonts w:hint="eastAsia"/>
          <w:kern w:val="0"/>
          <w:sz w:val="24"/>
        </w:rPr>
        <w:t>基金托管人将根据基金管理人传送的基金转换数据进行账务处理，</w:t>
      </w:r>
      <w:proofErr w:type="gramStart"/>
      <w:r>
        <w:rPr>
          <w:rFonts w:hint="eastAsia"/>
          <w:kern w:val="0"/>
          <w:sz w:val="24"/>
        </w:rPr>
        <w:t>具体资金</w:t>
      </w:r>
      <w:proofErr w:type="gramEnd"/>
      <w:r>
        <w:rPr>
          <w:rFonts w:hint="eastAsia"/>
          <w:kern w:val="0"/>
          <w:sz w:val="24"/>
        </w:rPr>
        <w:t>清算和数据传递的时间、程序及托管协议当事人承担的权责按基金管理人届时的公告执行。</w:t>
      </w:r>
    </w:p>
    <w:p w14:paraId="77840DCA"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本基金开展基金转换业务应按相关法律法规规定及《基金合同》的约定进行公告。</w:t>
      </w:r>
    </w:p>
    <w:p w14:paraId="2011F2A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（六）基金现金分红</w:t>
      </w:r>
    </w:p>
    <w:p w14:paraId="6B9786B9"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基金管理人确定分红方案通知基金托管人，双方核定后依照《信息披露办法》的有关规定在中国证监会规定媒介上公告。</w:t>
      </w:r>
    </w:p>
    <w:p w14:paraId="2F186A08"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基金托管人和基金管理人对基金分红进行账务处理并核对后，基金管理人向基金托管人发送现金红利的划款指令，基金托管人应及时将资金划入专用账户。</w:t>
      </w:r>
    </w:p>
    <w:p w14:paraId="56A89470"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基金管理人在下达指令时，应给基金托管人留出必需的划款时间。</w:t>
      </w:r>
    </w:p>
    <w:p w14:paraId="1C537D3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（七）投资银行存款的特别约定</w:t>
      </w:r>
    </w:p>
    <w:p w14:paraId="49F81387"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本基金投资银行存款前，基金管理人应与存款银行签订具体存款协议，包括但不限于以下内容：</w:t>
      </w:r>
    </w:p>
    <w:p w14:paraId="4D120CB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）存款账户必须以本基金名义开立，并将基金托管人为本基金开立的基金银行账户指定为唯一回款账户，任何情况下，存款银行都不得将存款投资</w:t>
      </w:r>
      <w:proofErr w:type="gramStart"/>
      <w:r>
        <w:rPr>
          <w:rFonts w:hint="eastAsia"/>
          <w:kern w:val="0"/>
          <w:sz w:val="24"/>
        </w:rPr>
        <w:t>本息划往任何</w:t>
      </w:r>
      <w:proofErr w:type="gramEnd"/>
      <w:r>
        <w:rPr>
          <w:rFonts w:hint="eastAsia"/>
          <w:kern w:val="0"/>
          <w:sz w:val="24"/>
        </w:rPr>
        <w:t>其他账户。</w:t>
      </w:r>
    </w:p>
    <w:p w14:paraId="487FA1A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）存款银行不得接受基金管理人或基金托管人任何一方单方面提出的对存款进行更名、转让、挂失、质押、担保、撤销、变更印鉴及回款账户信息等可能导致财产转移的操作申请。</w:t>
      </w:r>
    </w:p>
    <w:p w14:paraId="636A3CB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）约定存款证实书的具体传递交接方式及交接期限。</w:t>
      </w:r>
    </w:p>
    <w:p w14:paraId="7DA834A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）资金划转过程中需要使用存款银行过渡账户的，存款银行须保证资金在过渡账户中不出现滞留，不被挪用。</w:t>
      </w:r>
    </w:p>
    <w:p w14:paraId="38F82A3B"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本基金投资银行存款，必须采用双方认可的方式办理。基金托管人负责依据基金管理人提供的银行存款投资合同</w:t>
      </w:r>
      <w:r>
        <w:rPr>
          <w:kern w:val="0"/>
          <w:sz w:val="24"/>
        </w:rPr>
        <w:t>/</w:t>
      </w:r>
      <w:r>
        <w:rPr>
          <w:rFonts w:hint="eastAsia"/>
          <w:kern w:val="0"/>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378EB2F" w14:textId="77777777" w:rsidR="001A6E24" w:rsidRDefault="000739D5">
      <w:pPr>
        <w:widowControl/>
        <w:adjustRightInd w:val="0"/>
        <w:snapToGrid w:val="0"/>
        <w:spacing w:line="360" w:lineRule="auto"/>
        <w:ind w:firstLineChars="200" w:firstLine="480"/>
        <w:rPr>
          <w:kern w:val="0"/>
          <w:sz w:val="24"/>
        </w:rPr>
      </w:pPr>
      <w:r>
        <w:rPr>
          <w:kern w:val="0"/>
          <w:sz w:val="24"/>
        </w:rPr>
        <w:lastRenderedPageBreak/>
        <w:t>3.</w:t>
      </w:r>
      <w:r>
        <w:rPr>
          <w:rFonts w:hint="eastAsia"/>
          <w:kern w:val="0"/>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bookmarkStart w:id="89" w:name="_Toc124325892"/>
    </w:p>
    <w:p w14:paraId="70E32411" w14:textId="77777777" w:rsidR="001A6E24" w:rsidRDefault="000739D5">
      <w:pPr>
        <w:spacing w:line="360" w:lineRule="auto"/>
        <w:ind w:firstLineChars="200" w:firstLine="480"/>
        <w:rPr>
          <w:kern w:val="0"/>
          <w:sz w:val="24"/>
        </w:rPr>
      </w:pPr>
      <w:r>
        <w:rPr>
          <w:kern w:val="0"/>
          <w:sz w:val="24"/>
        </w:rPr>
        <w:t>4.</w:t>
      </w:r>
      <w:r>
        <w:rPr>
          <w:rFonts w:hint="eastAsia"/>
          <w:kern w:val="0"/>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kern w:val="0"/>
          <w:sz w:val="24"/>
        </w:rPr>
        <w:t>1</w:t>
      </w:r>
      <w:r>
        <w:rPr>
          <w:rFonts w:hint="eastAsia"/>
          <w:kern w:val="0"/>
          <w:sz w:val="24"/>
        </w:rPr>
        <w:t>）建立风险预警机制，对于实物凭证未送达集中度较高的存款银行，主动发</w:t>
      </w:r>
      <w:proofErr w:type="gramStart"/>
      <w:r>
        <w:rPr>
          <w:rFonts w:hint="eastAsia"/>
          <w:kern w:val="0"/>
          <w:sz w:val="24"/>
        </w:rPr>
        <w:t>函管</w:t>
      </w:r>
      <w:proofErr w:type="gramEnd"/>
      <w:r>
        <w:rPr>
          <w:rFonts w:hint="eastAsia"/>
          <w:kern w:val="0"/>
          <w:sz w:val="24"/>
        </w:rPr>
        <w:t>理人尽量避免在此类银行进行存款投资；（</w:t>
      </w:r>
      <w:r>
        <w:rPr>
          <w:kern w:val="0"/>
          <w:sz w:val="24"/>
        </w:rPr>
        <w:t>2</w:t>
      </w:r>
      <w:r>
        <w:rPr>
          <w:rFonts w:hint="eastAsia"/>
          <w:kern w:val="0"/>
          <w:sz w:val="24"/>
        </w:rPr>
        <w:t>）在定期报告中，对未按约定送达托管人保管的实物凭证信息进行规定范围信息披露；（</w:t>
      </w:r>
      <w:r>
        <w:rPr>
          <w:kern w:val="0"/>
          <w:sz w:val="24"/>
        </w:rPr>
        <w:t>3</w:t>
      </w:r>
      <w:r>
        <w:rPr>
          <w:rFonts w:hint="eastAsia"/>
          <w:kern w:val="0"/>
          <w:sz w:val="24"/>
        </w:rPr>
        <w:t>）未送达实物凭证超过送单截止日后</w:t>
      </w:r>
      <w:r>
        <w:rPr>
          <w:kern w:val="0"/>
          <w:sz w:val="24"/>
        </w:rPr>
        <w:t>30</w:t>
      </w:r>
      <w:r>
        <w:rPr>
          <w:rFonts w:hint="eastAsia"/>
          <w:kern w:val="0"/>
          <w:sz w:val="24"/>
        </w:rPr>
        <w:t>个工作日，且累计超过</w:t>
      </w:r>
      <w:r>
        <w:rPr>
          <w:kern w:val="0"/>
          <w:sz w:val="24"/>
        </w:rPr>
        <w:t>3</w:t>
      </w:r>
      <w:r>
        <w:rPr>
          <w:rFonts w:hint="eastAsia"/>
          <w:kern w:val="0"/>
          <w:sz w:val="24"/>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r>
        <w:rPr>
          <w:kern w:val="0"/>
          <w:sz w:val="24"/>
        </w:rPr>
        <w:br w:type="page"/>
      </w:r>
    </w:p>
    <w:p w14:paraId="54EB90A4" w14:textId="77777777" w:rsidR="001A6E24" w:rsidRDefault="000739D5">
      <w:pPr>
        <w:pStyle w:val="2"/>
        <w:spacing w:line="360" w:lineRule="auto"/>
        <w:jc w:val="center"/>
        <w:rPr>
          <w:rFonts w:ascii="Times New Roman" w:hAnsi="Times New Roman"/>
          <w:sz w:val="30"/>
        </w:rPr>
      </w:pPr>
      <w:r>
        <w:rPr>
          <w:rFonts w:ascii="Times New Roman" w:hAnsi="Times New Roman" w:hint="eastAsia"/>
          <w:sz w:val="30"/>
        </w:rPr>
        <w:lastRenderedPageBreak/>
        <w:t>八、基金资产净值计算和会计核算</w:t>
      </w:r>
      <w:bookmarkEnd w:id="89"/>
    </w:p>
    <w:p w14:paraId="6C18D62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（一）基金资产净值的计算、复核与完成的时间及程序</w:t>
      </w:r>
    </w:p>
    <w:p w14:paraId="0FDC18DE"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基金资产净值是指基金资产总值减去基金负债后的价值。基金份额净值是按照每个工作日闭市后，</w:t>
      </w:r>
      <w:r>
        <w:rPr>
          <w:rFonts w:hint="eastAsia"/>
          <w:kern w:val="0"/>
          <w:sz w:val="24"/>
        </w:rPr>
        <w:t>A</w:t>
      </w:r>
      <w:r>
        <w:rPr>
          <w:rFonts w:hint="eastAsia"/>
          <w:kern w:val="0"/>
          <w:sz w:val="24"/>
        </w:rPr>
        <w:t>类或</w:t>
      </w:r>
      <w:r>
        <w:rPr>
          <w:rFonts w:hint="eastAsia"/>
          <w:kern w:val="0"/>
          <w:sz w:val="24"/>
        </w:rPr>
        <w:t>C</w:t>
      </w:r>
      <w:r>
        <w:rPr>
          <w:rFonts w:hint="eastAsia"/>
          <w:kern w:val="0"/>
          <w:sz w:val="24"/>
        </w:rPr>
        <w:t>类基金资产净值除以当日</w:t>
      </w:r>
      <w:r>
        <w:rPr>
          <w:rFonts w:hint="eastAsia"/>
          <w:kern w:val="0"/>
          <w:sz w:val="24"/>
        </w:rPr>
        <w:t>A</w:t>
      </w:r>
      <w:r>
        <w:rPr>
          <w:rFonts w:hint="eastAsia"/>
          <w:kern w:val="0"/>
          <w:sz w:val="24"/>
        </w:rPr>
        <w:t>类或</w:t>
      </w:r>
      <w:r>
        <w:rPr>
          <w:rFonts w:hint="eastAsia"/>
          <w:kern w:val="0"/>
          <w:sz w:val="24"/>
        </w:rPr>
        <w:t>C</w:t>
      </w:r>
      <w:r>
        <w:rPr>
          <w:rFonts w:hint="eastAsia"/>
          <w:kern w:val="0"/>
          <w:sz w:val="24"/>
        </w:rPr>
        <w:t>类基金份额的余额数量计算，各类基金份额净值均精确到</w:t>
      </w:r>
      <w:r>
        <w:rPr>
          <w:rFonts w:hint="eastAsia"/>
          <w:kern w:val="0"/>
          <w:sz w:val="24"/>
        </w:rPr>
        <w:t>0.0001</w:t>
      </w:r>
      <w:r>
        <w:rPr>
          <w:rFonts w:hint="eastAsia"/>
          <w:kern w:val="0"/>
          <w:sz w:val="24"/>
        </w:rPr>
        <w:t>元，小数点后第</w:t>
      </w:r>
      <w:r>
        <w:rPr>
          <w:rFonts w:hint="eastAsia"/>
          <w:kern w:val="0"/>
          <w:sz w:val="24"/>
        </w:rPr>
        <w:t>5</w:t>
      </w:r>
      <w:r>
        <w:rPr>
          <w:rFonts w:hint="eastAsia"/>
          <w:kern w:val="0"/>
          <w:sz w:val="24"/>
        </w:rPr>
        <w:t>位四舍五入，由此产生的误差计入基金财产。基金管理人可以设立大额赎回情形下的净值精度应急调整机制。国家另有规定的，从其规定。</w:t>
      </w:r>
    </w:p>
    <w:p w14:paraId="09B2C4C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基金管理人每个估值日计算基金资产净值及各类基金份额净值，并按规定公告。</w:t>
      </w:r>
    </w:p>
    <w:p w14:paraId="2A34E99B"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w:t>
      </w:r>
      <w:proofErr w:type="gramStart"/>
      <w:r>
        <w:rPr>
          <w:rFonts w:hint="eastAsia"/>
          <w:kern w:val="0"/>
          <w:sz w:val="24"/>
        </w:rPr>
        <w:t>应每个</w:t>
      </w:r>
      <w:proofErr w:type="gramEnd"/>
      <w:r>
        <w:rPr>
          <w:rFonts w:hint="eastAsia"/>
          <w:kern w:val="0"/>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依据基金合同和相关法律法规的规定对外公布。</w:t>
      </w:r>
    </w:p>
    <w:p w14:paraId="4AF29FD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（二）基金资产估值方法和特殊情形的处理</w:t>
      </w:r>
    </w:p>
    <w:p w14:paraId="58EA2430"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估值对象</w:t>
      </w:r>
    </w:p>
    <w:p w14:paraId="297B2AA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基金所拥有的股票、债券和银行存款本息、应收款项、期货合约、其它投资等资产及负债。</w:t>
      </w:r>
    </w:p>
    <w:p w14:paraId="7520A4CE"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估值方法</w:t>
      </w:r>
    </w:p>
    <w:p w14:paraId="005F6601" w14:textId="77777777" w:rsidR="001A6E24" w:rsidRDefault="000739D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14:paraId="66D8EEE1" w14:textId="77777777" w:rsidR="001A6E24" w:rsidRDefault="000739D5">
      <w:pPr>
        <w:spacing w:line="360" w:lineRule="auto"/>
        <w:ind w:firstLineChars="200" w:firstLine="480"/>
        <w:rPr>
          <w:bCs/>
          <w:sz w:val="24"/>
        </w:rPr>
      </w:pPr>
      <w:r>
        <w:rPr>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5128A0" w14:textId="0C9BD071" w:rsidR="001A6E24" w:rsidRDefault="000739D5">
      <w:pPr>
        <w:spacing w:line="360" w:lineRule="auto"/>
        <w:ind w:firstLineChars="200" w:firstLine="480"/>
        <w:rPr>
          <w:bCs/>
          <w:sz w:val="24"/>
        </w:rPr>
      </w:pP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63903FCA" w14:textId="50982EEE" w:rsidR="001A6E24" w:rsidRDefault="000739D5">
      <w:pPr>
        <w:spacing w:line="360" w:lineRule="auto"/>
        <w:ind w:firstLineChars="200" w:firstLine="480"/>
        <w:rPr>
          <w:bCs/>
          <w:sz w:val="24"/>
        </w:rPr>
      </w:pP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2FEC1508" w14:textId="2B95A695" w:rsidR="001A6E24" w:rsidRDefault="000739D5">
      <w:pPr>
        <w:spacing w:line="360" w:lineRule="auto"/>
        <w:ind w:firstLineChars="200" w:firstLine="480"/>
        <w:rPr>
          <w:bCs/>
          <w:sz w:val="24"/>
        </w:rPr>
      </w:pPr>
      <w:r>
        <w:rPr>
          <w:bCs/>
          <w:sz w:val="24"/>
        </w:rPr>
        <w:lastRenderedPageBreak/>
        <w:t>4</w:t>
      </w:r>
      <w:r>
        <w:rPr>
          <w:rFonts w:hint="eastAsia"/>
          <w:bCs/>
          <w:sz w:val="24"/>
        </w:rPr>
        <w:t>）交易所上市交易的可转换债券以每日收盘价作为估值全价；</w:t>
      </w:r>
    </w:p>
    <w:p w14:paraId="0EEF95EC" w14:textId="77777777" w:rsidR="001A6E24" w:rsidRDefault="000739D5">
      <w:pPr>
        <w:spacing w:line="360" w:lineRule="auto"/>
        <w:ind w:firstLineChars="200" w:firstLine="480"/>
        <w:rPr>
          <w:bCs/>
        </w:rPr>
      </w:pP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18573330" w14:textId="77777777" w:rsidR="001A6E24" w:rsidRDefault="000739D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）处于未上市期间的有价证券应区分如下情况处理：</w:t>
      </w:r>
    </w:p>
    <w:p w14:paraId="6453719B" w14:textId="77777777" w:rsidR="001A6E24" w:rsidRDefault="000739D5">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703A37D9" w14:textId="77777777" w:rsidR="001A6E24" w:rsidRDefault="000739D5">
      <w:pPr>
        <w:spacing w:line="360" w:lineRule="auto"/>
        <w:ind w:firstLineChars="200" w:firstLine="480"/>
        <w:rPr>
          <w:bCs/>
          <w:sz w:val="24"/>
        </w:rPr>
      </w:pP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047D794B" w14:textId="77777777" w:rsidR="001A6E24" w:rsidRDefault="000739D5">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5CA2F6A7" w14:textId="27245E13" w:rsidR="001A6E24" w:rsidRDefault="000739D5">
      <w:pPr>
        <w:spacing w:line="360" w:lineRule="auto"/>
        <w:ind w:firstLineChars="200" w:firstLine="480"/>
        <w:rPr>
          <w:bCs/>
          <w:sz w:val="24"/>
        </w:rPr>
      </w:pPr>
      <w:r>
        <w:rPr>
          <w:rFonts w:hint="eastAsia"/>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2DD5EA6" w14:textId="3939BE5E" w:rsidR="001A6E24" w:rsidRDefault="000739D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84FB6B" w14:textId="77777777" w:rsidR="001A6E24" w:rsidRDefault="000739D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）存款的估值方法</w:t>
      </w:r>
    </w:p>
    <w:p w14:paraId="55AE0E1D" w14:textId="77777777" w:rsidR="001A6E24" w:rsidRDefault="000739D5">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11604B00" w14:textId="77777777" w:rsidR="001A6E24" w:rsidRDefault="000739D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）同业存单的估值方法</w:t>
      </w:r>
    </w:p>
    <w:p w14:paraId="3629F805" w14:textId="4434668A" w:rsidR="001A6E24" w:rsidRDefault="000739D5">
      <w:pPr>
        <w:spacing w:line="360" w:lineRule="auto"/>
        <w:ind w:firstLineChars="200" w:firstLine="480"/>
        <w:rPr>
          <w:bCs/>
          <w:sz w:val="24"/>
        </w:rPr>
      </w:pPr>
      <w:r>
        <w:rPr>
          <w:rFonts w:hint="eastAsia"/>
          <w:bCs/>
          <w:sz w:val="24"/>
        </w:rPr>
        <w:t>同业存单按估值日第三方估值机构提供的估值净价估值；选定的第三方估值机构未提供估值价格的，按成本估值。</w:t>
      </w:r>
    </w:p>
    <w:p w14:paraId="031CBA6D" w14:textId="77777777" w:rsidR="001A6E24" w:rsidRDefault="000739D5">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）期货合约的估值方法</w:t>
      </w:r>
    </w:p>
    <w:p w14:paraId="00289C94" w14:textId="77777777" w:rsidR="001A6E24" w:rsidRDefault="000739D5">
      <w:pPr>
        <w:spacing w:line="360" w:lineRule="auto"/>
        <w:ind w:firstLineChars="200" w:firstLine="480"/>
        <w:rPr>
          <w:bCs/>
          <w:sz w:val="24"/>
        </w:rPr>
      </w:pPr>
      <w:r>
        <w:rPr>
          <w:rFonts w:hint="eastAsia"/>
          <w:bCs/>
          <w:sz w:val="24"/>
        </w:rPr>
        <w:t>期货合约一般以估值当日结算价进行估值，估值当日无结算价的，且最近交易日后经济环境未发生重大变化的，采用最近交易日结算价估值。</w:t>
      </w:r>
    </w:p>
    <w:p w14:paraId="310B76FE" w14:textId="77777777" w:rsidR="001A6E24" w:rsidRDefault="000739D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）本基金投资存托凭证的估值核算依照境内上市交易的股票执行。</w:t>
      </w:r>
    </w:p>
    <w:p w14:paraId="1FE0B29B" w14:textId="77777777" w:rsidR="001A6E24" w:rsidRDefault="000739D5">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）同一股票同时在两个或两个以上市场交易的，按股票所处的市场分别估值。同一债券同时在两个或两个以上市场交易的，按债券所处的市场分别估值。</w:t>
      </w:r>
    </w:p>
    <w:p w14:paraId="0A30A0B4" w14:textId="77777777" w:rsidR="001A6E24" w:rsidRDefault="000739D5">
      <w:pPr>
        <w:spacing w:line="360" w:lineRule="auto"/>
        <w:ind w:firstLineChars="200" w:firstLine="480"/>
        <w:rPr>
          <w:bCs/>
          <w:sz w:val="24"/>
        </w:rPr>
      </w:pPr>
      <w:r>
        <w:rPr>
          <w:rFonts w:hint="eastAsia"/>
          <w:bCs/>
          <w:sz w:val="24"/>
        </w:rPr>
        <w:t>（</w:t>
      </w:r>
      <w:r>
        <w:rPr>
          <w:rFonts w:hint="eastAsia"/>
          <w:bCs/>
          <w:sz w:val="24"/>
        </w:rPr>
        <w:t>9</w:t>
      </w:r>
      <w:r>
        <w:rPr>
          <w:rFonts w:hint="eastAsia"/>
          <w:bCs/>
          <w:sz w:val="24"/>
        </w:rPr>
        <w:t>）估值计算中涉及港币对人民币汇率的，将依据下列信息提供机构所提供的汇率为基准：当日中国人民银行或其授权机构公布的人民币与港币的中间价。</w:t>
      </w:r>
    </w:p>
    <w:p w14:paraId="0691DC4E" w14:textId="77777777" w:rsidR="001A6E24" w:rsidRDefault="000739D5">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D982A9" w14:textId="5F04ADFC" w:rsidR="001A6E24" w:rsidRDefault="000739D5">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）本基金可以采用第三方估值机构按照上述公允价值确定原则提供的估值价格数据。</w:t>
      </w:r>
    </w:p>
    <w:p w14:paraId="497635B5" w14:textId="51939242" w:rsidR="001A6E24" w:rsidRDefault="000739D5">
      <w:pPr>
        <w:spacing w:line="360" w:lineRule="auto"/>
        <w:ind w:firstLineChars="200" w:firstLine="480"/>
        <w:rPr>
          <w:sz w:val="24"/>
        </w:rPr>
      </w:pPr>
      <w:r>
        <w:rPr>
          <w:rFonts w:hint="eastAsia"/>
          <w:bCs/>
          <w:sz w:val="24"/>
        </w:rPr>
        <w:t>（</w:t>
      </w:r>
      <w:r>
        <w:rPr>
          <w:rFonts w:hint="eastAsia"/>
          <w:bCs/>
          <w:sz w:val="24"/>
        </w:rPr>
        <w:t>1</w:t>
      </w:r>
      <w:r>
        <w:rPr>
          <w:bCs/>
          <w:sz w:val="24"/>
        </w:rPr>
        <w:t>2</w:t>
      </w:r>
      <w:r>
        <w:rPr>
          <w:rFonts w:hint="eastAsia"/>
          <w:bCs/>
          <w:sz w:val="24"/>
        </w:rPr>
        <w:t>）如有确凿证据表明按上述方法进行估值不能客观反映其公允价值的，基金管理人可根据具体情况与基金托管人商定后，按最能反映公允价值的价格估值。</w:t>
      </w:r>
    </w:p>
    <w:p w14:paraId="56F72FF4" w14:textId="255ED588" w:rsidR="001A6E24" w:rsidRDefault="000739D5">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）当发生大额申购或赎回情形时，基金管理人可以采用摆动定价机制，以确保基金估值的公平性。</w:t>
      </w:r>
    </w:p>
    <w:p w14:paraId="63F77D41" w14:textId="423276EE" w:rsidR="001A6E24" w:rsidRDefault="000739D5">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）相关法律法规以及监管部门有强制规定的，从其规定。如有新增事项，按国家最新规定估值。</w:t>
      </w:r>
    </w:p>
    <w:p w14:paraId="288D09BF" w14:textId="77777777" w:rsidR="001A6E24" w:rsidRDefault="000739D5">
      <w:pPr>
        <w:spacing w:line="360" w:lineRule="auto"/>
        <w:ind w:firstLineChars="200" w:firstLine="480"/>
        <w:rPr>
          <w:rStyle w:val="read"/>
          <w:sz w:val="24"/>
        </w:rPr>
      </w:pPr>
      <w:r>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BBA3C7" w14:textId="77777777" w:rsidR="001A6E24" w:rsidRDefault="000739D5">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Pr>
          <w:rFonts w:hint="eastAsia"/>
          <w:bCs/>
        </w:rPr>
        <w:t>的</w:t>
      </w:r>
      <w:r>
        <w:rPr>
          <w:rFonts w:hint="eastAsia"/>
          <w:bCs/>
          <w:sz w:val="24"/>
        </w:rPr>
        <w:t>，基金管理人向基金托管人出具盖章的书面说明后，按照基金管理人对基金净值</w:t>
      </w:r>
      <w:r>
        <w:rPr>
          <w:rFonts w:hint="eastAsia"/>
          <w:bCs/>
        </w:rPr>
        <w:t>信息</w:t>
      </w:r>
      <w:r>
        <w:rPr>
          <w:rFonts w:hint="eastAsia"/>
          <w:bCs/>
          <w:sz w:val="24"/>
        </w:rPr>
        <w:t>的计算结果对外予以公布。</w:t>
      </w:r>
    </w:p>
    <w:p w14:paraId="4A86D665" w14:textId="77777777" w:rsidR="001A6E24" w:rsidRDefault="000739D5">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lastRenderedPageBreak/>
        <w:t>3.</w:t>
      </w:r>
      <w:r>
        <w:rPr>
          <w:rFonts w:asciiTheme="minorEastAsia" w:eastAsiaTheme="minorEastAsia" w:hAnsiTheme="minorEastAsia" w:hint="eastAsia"/>
          <w:kern w:val="0"/>
          <w:sz w:val="24"/>
        </w:rPr>
        <w:t>特殊情形的处理</w:t>
      </w:r>
    </w:p>
    <w:p w14:paraId="31DBB703" w14:textId="25096EF7" w:rsidR="001A6E24" w:rsidRDefault="000739D5">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（1）基金管理人或基金托管人按估值方法的第</w:t>
      </w:r>
      <w:r>
        <w:rPr>
          <w:rFonts w:asciiTheme="minorEastAsia" w:eastAsiaTheme="minorEastAsia" w:hAnsiTheme="minorEastAsia"/>
          <w:kern w:val="0"/>
          <w:sz w:val="24"/>
        </w:rPr>
        <w:t>(12)</w:t>
      </w:r>
      <w:r>
        <w:rPr>
          <w:rFonts w:asciiTheme="minorEastAsia" w:eastAsiaTheme="minorEastAsia" w:hAnsiTheme="minorEastAsia" w:hint="eastAsia"/>
          <w:kern w:val="0"/>
          <w:sz w:val="24"/>
        </w:rPr>
        <w:t>项进行估值时，所造成的误差不作为基金资产估值错误处理；</w:t>
      </w:r>
    </w:p>
    <w:p w14:paraId="5508AB28" w14:textId="77777777" w:rsidR="001A6E24" w:rsidRDefault="000739D5">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（2）由于不可抗力原因，或由于证券/期货交易所、登记机构及存款银行等第三方机构发送的数据错误等</w:t>
      </w:r>
      <w:proofErr w:type="gramStart"/>
      <w:r>
        <w:rPr>
          <w:rFonts w:asciiTheme="minorEastAsia" w:eastAsiaTheme="minorEastAsia" w:hAnsiTheme="minorEastAsia" w:hint="eastAsia"/>
          <w:kern w:val="0"/>
          <w:sz w:val="24"/>
        </w:rPr>
        <w:t>非基金</w:t>
      </w:r>
      <w:proofErr w:type="gramEnd"/>
      <w:r>
        <w:rPr>
          <w:rFonts w:asciiTheme="minorEastAsia" w:eastAsiaTheme="minorEastAsia" w:hAnsiTheme="minorEastAsia" w:hint="eastAsia"/>
          <w:kern w:val="0"/>
          <w:sz w:val="24"/>
        </w:rPr>
        <w:t>管理人与基金托管人原因，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p w14:paraId="489AF8CB" w14:textId="77777777" w:rsidR="001A6E24" w:rsidRDefault="000739D5">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（三）基金份额净值错误的处理方式</w:t>
      </w:r>
    </w:p>
    <w:p w14:paraId="7C4766B9" w14:textId="77777777" w:rsidR="001A6E24" w:rsidRDefault="000739D5">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当某一类基金份额净值小数点后4位以内（含第4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5A3CC563" w14:textId="77777777" w:rsidR="001A6E24" w:rsidRDefault="000739D5">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当基金份额净值计算差错给基金和基金份额持有人造成损失需要进行赔偿时，基金管理人和基金托管人应根据实际情况界定双方承担的责任，经确认后按以下条款进行赔偿：</w:t>
      </w:r>
    </w:p>
    <w:p w14:paraId="686D3C4E" w14:textId="77777777" w:rsidR="001A6E24" w:rsidRDefault="000739D5">
      <w:pPr>
        <w:widowControl/>
        <w:adjustRightInd w:val="0"/>
        <w:snapToGrid w:val="0"/>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1AF7844" w14:textId="77777777" w:rsidR="001A6E24" w:rsidRDefault="000739D5">
      <w:pPr>
        <w:widowControl/>
        <w:adjustRightInd w:val="0"/>
        <w:snapToGrid w:val="0"/>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②</w:t>
      </w:r>
      <w:proofErr w:type="gramStart"/>
      <w:r>
        <w:rPr>
          <w:rFonts w:asciiTheme="minorEastAsia" w:hAnsiTheme="minorEastAsia" w:hint="eastAsia"/>
          <w:kern w:val="0"/>
          <w:sz w:val="24"/>
        </w:rPr>
        <w:t>若基金</w:t>
      </w:r>
      <w:proofErr w:type="gramEnd"/>
      <w:r>
        <w:rPr>
          <w:rFonts w:asciiTheme="minorEastAsia" w:hAnsiTheme="minorEastAsia" w:hint="eastAsia"/>
          <w:kern w:val="0"/>
          <w:sz w:val="24"/>
        </w:rPr>
        <w:t>管理人计算的基金份额净值已由基金托管人复核确认后公告，</w:t>
      </w:r>
      <w:r>
        <w:rPr>
          <w:rFonts w:asciiTheme="minorEastAsia" w:eastAsiaTheme="minorEastAsia" w:hAnsiTheme="minorEastAsia" w:hint="eastAsia"/>
          <w:kern w:val="0"/>
          <w:sz w:val="24"/>
        </w:rPr>
        <w:t>而且基金托管人未对计算过程提出疑义或要求基金管理人书面说明，基金份额净值出错且造成基金份额持有人损失的</w:t>
      </w:r>
      <w:r>
        <w:rPr>
          <w:rFonts w:asciiTheme="minorEastAsia" w:hAnsiTheme="minorEastAsia" w:hint="eastAsia"/>
          <w:kern w:val="0"/>
          <w:sz w:val="24"/>
        </w:rPr>
        <w:t>，应根据法律法规的规定对投资者或基金支付赔偿金，就实际向投资者或基金支付的赔偿金额，基金管理人与基金托管人按照</w:t>
      </w:r>
      <w:r>
        <w:rPr>
          <w:rFonts w:asciiTheme="minorEastAsia" w:eastAsiaTheme="minorEastAsia" w:hAnsiTheme="minorEastAsia" w:hint="eastAsia"/>
          <w:kern w:val="0"/>
          <w:sz w:val="24"/>
        </w:rPr>
        <w:t>管理费和托管费的比例</w:t>
      </w:r>
      <w:r>
        <w:rPr>
          <w:rFonts w:asciiTheme="minorEastAsia" w:hAnsiTheme="minorEastAsia" w:hint="eastAsia"/>
          <w:kern w:val="0"/>
          <w:sz w:val="24"/>
        </w:rPr>
        <w:t>各自承担相应的责任。</w:t>
      </w:r>
    </w:p>
    <w:p w14:paraId="03A5B32E" w14:textId="77777777" w:rsidR="001A6E24" w:rsidRDefault="000739D5">
      <w:pPr>
        <w:widowControl/>
        <w:adjustRightInd w:val="0"/>
        <w:snapToGrid w:val="0"/>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③</w:t>
      </w:r>
      <w:r>
        <w:rPr>
          <w:rFonts w:asciiTheme="minorEastAsia" w:hAnsiTheme="minorEastAsia" w:hint="eastAsia"/>
          <w:kern w:val="0"/>
          <w:sz w:val="24"/>
        </w:rPr>
        <w:t>如基金管理人和基金托管人对基金份额净值的计算结果，虽然多次重新计算和核对，尚不能达成一致时，为避免不能按时公布基金份额净值的情形，以基</w:t>
      </w:r>
      <w:r>
        <w:rPr>
          <w:rFonts w:asciiTheme="minorEastAsia" w:hAnsiTheme="minorEastAsia" w:hint="eastAsia"/>
          <w:kern w:val="0"/>
          <w:sz w:val="24"/>
        </w:rPr>
        <w:lastRenderedPageBreak/>
        <w:t>金管理人的计算结果对外公布，由此给基金份额持有人和基金造成的损失，由基金管理人负责赔付。</w:t>
      </w:r>
    </w:p>
    <w:p w14:paraId="06D7A376" w14:textId="77777777" w:rsidR="001A6E24" w:rsidRDefault="000739D5">
      <w:pPr>
        <w:widowControl/>
        <w:adjustRightInd w:val="0"/>
        <w:snapToGrid w:val="0"/>
        <w:spacing w:line="360" w:lineRule="auto"/>
        <w:ind w:firstLineChars="200" w:firstLine="480"/>
        <w:rPr>
          <w:kern w:val="0"/>
          <w:sz w:val="24"/>
        </w:rPr>
      </w:pPr>
      <w:r>
        <w:rPr>
          <w:rFonts w:asciiTheme="minorEastAsia" w:eastAsiaTheme="minorEastAsia" w:hAnsiTheme="minorEastAsia" w:hint="eastAsia"/>
          <w:kern w:val="0"/>
          <w:sz w:val="24"/>
        </w:rPr>
        <w:t>④</w:t>
      </w:r>
      <w:r>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9A69EBE"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由于不可抗力，或证券</w:t>
      </w:r>
      <w:r>
        <w:rPr>
          <w:kern w:val="0"/>
          <w:sz w:val="24"/>
        </w:rPr>
        <w:t>/</w:t>
      </w:r>
      <w:r>
        <w:rPr>
          <w:rFonts w:hint="eastAsia"/>
          <w:kern w:val="0"/>
          <w:sz w:val="24"/>
        </w:rPr>
        <w:t>期货交易所、登记结算公司等机构发送的数据错误、遗漏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8248D55"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基金管理人和基金托管人由于各自技术系统设置而产生的净值计算尾差，以基金管理人计算结果为准。</w:t>
      </w:r>
    </w:p>
    <w:p w14:paraId="1D4EB319" w14:textId="77777777" w:rsidR="001A6E24" w:rsidRDefault="000739D5">
      <w:pPr>
        <w:widowControl/>
        <w:adjustRightInd w:val="0"/>
        <w:snapToGrid w:val="0"/>
        <w:spacing w:line="360" w:lineRule="auto"/>
        <w:ind w:firstLineChars="200" w:firstLine="480"/>
        <w:rPr>
          <w:kern w:val="0"/>
          <w:sz w:val="24"/>
        </w:rPr>
      </w:pPr>
      <w:r>
        <w:rPr>
          <w:kern w:val="0"/>
          <w:sz w:val="24"/>
        </w:rPr>
        <w:t>5.</w:t>
      </w:r>
      <w:r>
        <w:rPr>
          <w:rFonts w:hint="eastAsia"/>
          <w:kern w:val="0"/>
          <w:sz w:val="24"/>
        </w:rPr>
        <w:t>前述内容如法律法规或监管机关另有规定的，从其规定处理。如果行业另有通行做法，基金管理人和基金托管人应本着平等和保护基金份额持有人利益的原则进行协商。</w:t>
      </w:r>
    </w:p>
    <w:p w14:paraId="6F3988E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（四）暂停估值的情形</w:t>
      </w:r>
    </w:p>
    <w:p w14:paraId="0D467A1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1.</w:t>
      </w:r>
      <w:r>
        <w:rPr>
          <w:rFonts w:hint="eastAsia"/>
          <w:sz w:val="24"/>
        </w:rPr>
        <w:t>基金投资所涉及的证券</w:t>
      </w:r>
      <w:r>
        <w:rPr>
          <w:rFonts w:hint="eastAsia"/>
          <w:bCs/>
          <w:sz w:val="24"/>
        </w:rPr>
        <w:t>/</w:t>
      </w:r>
      <w:r>
        <w:rPr>
          <w:rFonts w:hint="eastAsia"/>
          <w:sz w:val="24"/>
        </w:rPr>
        <w:t>期货交易市场或外汇市场遇法定节假日或因其他原因暂停营业时</w:t>
      </w:r>
      <w:r>
        <w:rPr>
          <w:rFonts w:hint="eastAsia"/>
          <w:kern w:val="0"/>
          <w:sz w:val="24"/>
        </w:rPr>
        <w:t>；</w:t>
      </w:r>
    </w:p>
    <w:p w14:paraId="63C75CC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因不可抗力致使基金管理人、基金托管人无法准确评估基金资产价值时；</w:t>
      </w:r>
    </w:p>
    <w:p w14:paraId="72406CD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当特定资产占前一估值日基金资产净值</w:t>
      </w:r>
      <w:r>
        <w:rPr>
          <w:rFonts w:hint="eastAsia"/>
          <w:kern w:val="0"/>
          <w:sz w:val="24"/>
        </w:rPr>
        <w:t>50%</w:t>
      </w:r>
      <w:r>
        <w:rPr>
          <w:rFonts w:hint="eastAsia"/>
          <w:kern w:val="0"/>
          <w:sz w:val="24"/>
        </w:rPr>
        <w:t>以上的，经与基金托管人协商确认后，基金管理人应当暂停估值；</w:t>
      </w:r>
    </w:p>
    <w:p w14:paraId="2C9BF5F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中国证监会和基金合同认定的其它情形。</w:t>
      </w:r>
    </w:p>
    <w:p w14:paraId="7638667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（五）基金会计制度</w:t>
      </w:r>
    </w:p>
    <w:p w14:paraId="6CC0AE1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按国家有关部门规定的会计制度执行。</w:t>
      </w:r>
    </w:p>
    <w:p w14:paraId="36E46D2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（六）基金账册的建立</w:t>
      </w:r>
    </w:p>
    <w:p w14:paraId="743CF45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基金管理人进行基金会计核算并编制基金财务会计报告。基金管理人独立地设置、记录和保管本基金的全套账册。</w:t>
      </w:r>
      <w:proofErr w:type="gramStart"/>
      <w:r>
        <w:rPr>
          <w:rFonts w:hint="eastAsia"/>
          <w:kern w:val="0"/>
          <w:sz w:val="24"/>
        </w:rPr>
        <w:t>若基金</w:t>
      </w:r>
      <w:proofErr w:type="gramEnd"/>
      <w:r>
        <w:rPr>
          <w:rFonts w:hint="eastAsia"/>
          <w:kern w:val="0"/>
          <w:sz w:val="24"/>
        </w:rPr>
        <w:t>管理人和基金托管人对会计处理方法存在分歧，应以基金管理人的处理方法为准。若当日核对不符，暂时无法查找到错账的原因而影响到基金净值</w:t>
      </w:r>
      <w:r>
        <w:rPr>
          <w:kern w:val="0"/>
          <w:sz w:val="24"/>
        </w:rPr>
        <w:t>信息</w:t>
      </w:r>
      <w:r>
        <w:rPr>
          <w:rFonts w:hint="eastAsia"/>
          <w:kern w:val="0"/>
          <w:sz w:val="24"/>
        </w:rPr>
        <w:t>的计算和公告的，以基金管理人的账册为准。</w:t>
      </w:r>
    </w:p>
    <w:p w14:paraId="6176B91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（七）基金财务报表与报告的编制和复核</w:t>
      </w:r>
    </w:p>
    <w:p w14:paraId="22A8BC7F" w14:textId="77777777" w:rsidR="001A6E24" w:rsidRDefault="000739D5">
      <w:pPr>
        <w:widowControl/>
        <w:adjustRightInd w:val="0"/>
        <w:snapToGrid w:val="0"/>
        <w:spacing w:line="360" w:lineRule="auto"/>
        <w:ind w:firstLineChars="200" w:firstLine="480"/>
        <w:rPr>
          <w:kern w:val="0"/>
          <w:sz w:val="24"/>
        </w:rPr>
      </w:pPr>
      <w:r>
        <w:rPr>
          <w:kern w:val="0"/>
          <w:sz w:val="24"/>
        </w:rPr>
        <w:lastRenderedPageBreak/>
        <w:t>1.</w:t>
      </w:r>
      <w:r>
        <w:rPr>
          <w:rFonts w:hint="eastAsia"/>
          <w:kern w:val="0"/>
          <w:sz w:val="24"/>
        </w:rPr>
        <w:t>财务报表的编制</w:t>
      </w:r>
    </w:p>
    <w:p w14:paraId="3E540CA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基金财务报表由基金管理人编制，基金托管人复核。</w:t>
      </w:r>
    </w:p>
    <w:p w14:paraId="39757B0B"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报表复核</w:t>
      </w:r>
    </w:p>
    <w:p w14:paraId="6AFE26D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基金托管人在收到基金管理人编制的基金财务报表后，进行独立的复核。核对不符时，应及时通知基金管理人共同查出原因，进行调整，直至双方数据完全一致。</w:t>
      </w:r>
    </w:p>
    <w:p w14:paraId="33240741"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财务报表的编制与复核时间安排</w:t>
      </w:r>
    </w:p>
    <w:p w14:paraId="08370EAD"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报表的编制</w:t>
      </w:r>
    </w:p>
    <w:p w14:paraId="433AAFF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基金管理人应当在每月结束后</w:t>
      </w:r>
      <w:r>
        <w:rPr>
          <w:kern w:val="0"/>
          <w:sz w:val="24"/>
        </w:rPr>
        <w:t>5</w:t>
      </w:r>
      <w:r>
        <w:rPr>
          <w:rFonts w:hint="eastAsia"/>
          <w:kern w:val="0"/>
          <w:sz w:val="24"/>
        </w:rPr>
        <w:t>个工作日内完成月度报表的编制；在季度结束之日起</w:t>
      </w:r>
      <w:r>
        <w:rPr>
          <w:kern w:val="0"/>
          <w:sz w:val="24"/>
        </w:rPr>
        <w:t>15</w:t>
      </w:r>
      <w:r>
        <w:rPr>
          <w:rFonts w:hint="eastAsia"/>
          <w:kern w:val="0"/>
          <w:sz w:val="24"/>
        </w:rPr>
        <w:t>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3D7D0AD1"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报表的复核</w:t>
      </w:r>
    </w:p>
    <w:p w14:paraId="0114D25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6D601F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基金管理人应留足充分的时间，便于基金托管人复核相关报表及报告。</w:t>
      </w:r>
    </w:p>
    <w:p w14:paraId="2B170B1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（八）基金管理人应在编制季度报告、中期报告或者年度报告之前及时向基金托管人提供基金业绩比较基准的基础数据和编制结果。</w:t>
      </w:r>
      <w:bookmarkStart w:id="90" w:name="_Toc124325893"/>
    </w:p>
    <w:p w14:paraId="2E11884D" w14:textId="77777777" w:rsidR="001A6E24" w:rsidRDefault="000739D5">
      <w:pPr>
        <w:adjustRightInd w:val="0"/>
        <w:spacing w:line="360" w:lineRule="auto"/>
        <w:ind w:firstLineChars="200" w:firstLine="480"/>
        <w:rPr>
          <w:color w:val="000000"/>
          <w:sz w:val="24"/>
        </w:rPr>
      </w:pPr>
      <w:r>
        <w:rPr>
          <w:rFonts w:hint="eastAsia"/>
          <w:color w:val="000000"/>
          <w:sz w:val="24"/>
        </w:rPr>
        <w:t>（九）实施</w:t>
      </w:r>
      <w:proofErr w:type="gramStart"/>
      <w:r>
        <w:rPr>
          <w:color w:val="000000"/>
          <w:sz w:val="24"/>
        </w:rPr>
        <w:t>侧袋机制</w:t>
      </w:r>
      <w:proofErr w:type="gramEnd"/>
      <w:r>
        <w:rPr>
          <w:color w:val="000000"/>
          <w:sz w:val="24"/>
        </w:rPr>
        <w:t>期间的基金资产</w:t>
      </w:r>
      <w:r>
        <w:rPr>
          <w:rFonts w:hint="eastAsia"/>
          <w:color w:val="000000"/>
          <w:sz w:val="24"/>
        </w:rPr>
        <w:t>估值</w:t>
      </w:r>
    </w:p>
    <w:p w14:paraId="71A6B55E" w14:textId="77777777" w:rsidR="001A6E24" w:rsidRDefault="000739D5">
      <w:pPr>
        <w:adjustRightInd w:val="0"/>
        <w:spacing w:line="360" w:lineRule="auto"/>
        <w:ind w:firstLineChars="200"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的，应根据基金合同的约定</w:t>
      </w:r>
      <w:proofErr w:type="gramStart"/>
      <w:r>
        <w:rPr>
          <w:rFonts w:hint="eastAsia"/>
          <w:color w:val="000000"/>
          <w:sz w:val="24"/>
        </w:rPr>
        <w:t>对主袋账户</w:t>
      </w:r>
      <w:proofErr w:type="gramEnd"/>
      <w:r>
        <w:rPr>
          <w:rFonts w:hint="eastAsia"/>
          <w:color w:val="000000"/>
          <w:sz w:val="24"/>
        </w:rPr>
        <w:t>资产进行估值并</w:t>
      </w:r>
      <w:proofErr w:type="gramStart"/>
      <w:r>
        <w:rPr>
          <w:rFonts w:hint="eastAsia"/>
          <w:color w:val="000000"/>
          <w:sz w:val="24"/>
        </w:rPr>
        <w:t>披露主袋账户</w:t>
      </w:r>
      <w:proofErr w:type="gramEnd"/>
      <w:r>
        <w:rPr>
          <w:rFonts w:hint="eastAsia"/>
          <w:color w:val="000000"/>
          <w:sz w:val="24"/>
        </w:rPr>
        <w:t>的基金净值信息，暂停</w:t>
      </w:r>
      <w:proofErr w:type="gramStart"/>
      <w:r>
        <w:rPr>
          <w:rFonts w:hint="eastAsia"/>
          <w:color w:val="000000"/>
          <w:sz w:val="24"/>
        </w:rPr>
        <w:t>披露侧袋账户</w:t>
      </w:r>
      <w:proofErr w:type="gramEnd"/>
      <w:r>
        <w:rPr>
          <w:rFonts w:hint="eastAsia"/>
          <w:color w:val="000000"/>
          <w:sz w:val="24"/>
        </w:rPr>
        <w:t>份额净值。</w:t>
      </w:r>
    </w:p>
    <w:p w14:paraId="2388D2F8"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九、基金收益分配</w:t>
      </w:r>
      <w:bookmarkEnd w:id="90"/>
    </w:p>
    <w:p w14:paraId="5312410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基金收益分配是指按规定将基金的可分配收益按基金份额进行比例分配。</w:t>
      </w:r>
    </w:p>
    <w:p w14:paraId="7E5631B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（一）基金收益分配的原则</w:t>
      </w:r>
    </w:p>
    <w:p w14:paraId="4BBF0B5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在符合有关基金分红条件的前提下，基金管理人可以根据实际情况进行收益分配，具体分配方案以公告为准；</w:t>
      </w:r>
    </w:p>
    <w:p w14:paraId="7B22967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78F3443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基金收益分配后每一类别基金份额净值不能低于面值，即基金收益分配基准日的某一类基金份额净值减去该类别每单位基金份额收益分配金额后不能低于面值；</w:t>
      </w:r>
    </w:p>
    <w:p w14:paraId="278D154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本基金各类基金份额在费用收取上不同，其对应的可分配收益可能有所不同。同一类别每一基金份额享有同等分配权；</w:t>
      </w:r>
    </w:p>
    <w:p w14:paraId="6A750A4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法律法规或监管机关另有规定的，从其规定。</w:t>
      </w:r>
    </w:p>
    <w:p w14:paraId="2718DB7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在对基金份额持有人利益无实质不利影响的情况下，基金管理人与基金托管人协商一致后，可在法律法规允许的前提下酌情调整以上基金收益分配原则，此项调整不需要召开基金份额持有人大会，但应于变更实施日前在规定媒介公告。</w:t>
      </w:r>
    </w:p>
    <w:p w14:paraId="7FA8B74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（二）基金收益分配的时间和程序</w:t>
      </w:r>
    </w:p>
    <w:p w14:paraId="068CF8F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本基金收益分配方案由基金管理人拟定，并由基金托管人复核，在</w:t>
      </w:r>
      <w:r>
        <w:rPr>
          <w:rFonts w:hint="eastAsia"/>
          <w:kern w:val="0"/>
          <w:sz w:val="24"/>
        </w:rPr>
        <w:t>2</w:t>
      </w:r>
      <w:r>
        <w:rPr>
          <w:rFonts w:hint="eastAsia"/>
          <w:kern w:val="0"/>
          <w:sz w:val="24"/>
        </w:rPr>
        <w:t>日内在规定媒介公告。</w:t>
      </w:r>
      <w:bookmarkStart w:id="91" w:name="_Hlk11315574"/>
      <w:r>
        <w:rPr>
          <w:rFonts w:hint="eastAsia"/>
          <w:kern w:val="0"/>
          <w:sz w:val="24"/>
        </w:rPr>
        <w:t>基金收益分配方案公告后</w:t>
      </w:r>
      <w:bookmarkEnd w:id="91"/>
      <w:r>
        <w:rPr>
          <w:kern w:val="0"/>
          <w:sz w:val="24"/>
        </w:rPr>
        <w:t>(</w:t>
      </w:r>
      <w:r>
        <w:rPr>
          <w:rFonts w:hint="eastAsia"/>
          <w:kern w:val="0"/>
          <w:sz w:val="24"/>
        </w:rPr>
        <w:t>依据具体方案的规定</w:t>
      </w:r>
      <w:r>
        <w:rPr>
          <w:kern w:val="0"/>
          <w:sz w:val="24"/>
        </w:rPr>
        <w:t>)</w:t>
      </w:r>
      <w:r>
        <w:rPr>
          <w:rFonts w:hint="eastAsia"/>
          <w:kern w:val="0"/>
          <w:sz w:val="24"/>
        </w:rPr>
        <w:t>，基金管理人就支付的现金红利向基金托管人发送划款指令，基金托管人按照基金管理人的指令及时进行分红资金的划付。</w:t>
      </w:r>
    </w:p>
    <w:p w14:paraId="6937D61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登记机构的相关业务规则执行。</w:t>
      </w:r>
      <w:bookmarkStart w:id="92" w:name="_Toc124325894"/>
    </w:p>
    <w:p w14:paraId="1E1D6A08" w14:textId="77777777" w:rsidR="001A6E24" w:rsidRDefault="000739D5">
      <w:pPr>
        <w:adjustRightInd w:val="0"/>
        <w:spacing w:line="360" w:lineRule="auto"/>
        <w:ind w:firstLineChars="200" w:firstLine="480"/>
        <w:rPr>
          <w:color w:val="000000"/>
          <w:sz w:val="24"/>
        </w:rPr>
      </w:pPr>
      <w:r>
        <w:rPr>
          <w:rFonts w:hint="eastAsia"/>
          <w:color w:val="000000"/>
          <w:sz w:val="24"/>
        </w:rPr>
        <w:t>（三）实施</w:t>
      </w:r>
      <w:proofErr w:type="gramStart"/>
      <w:r>
        <w:rPr>
          <w:rFonts w:hint="eastAsia"/>
          <w:color w:val="000000"/>
          <w:sz w:val="24"/>
        </w:rPr>
        <w:t>侧袋机制</w:t>
      </w:r>
      <w:proofErr w:type="gramEnd"/>
      <w:r>
        <w:rPr>
          <w:rFonts w:hint="eastAsia"/>
          <w:color w:val="000000"/>
          <w:sz w:val="24"/>
        </w:rPr>
        <w:t>期间的收益分配</w:t>
      </w:r>
    </w:p>
    <w:p w14:paraId="69796C6D" w14:textId="77777777" w:rsidR="001A6E24" w:rsidRDefault="000739D5">
      <w:pPr>
        <w:adjustRightInd w:val="0"/>
        <w:spacing w:line="360" w:lineRule="auto"/>
        <w:ind w:firstLineChars="200"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侧袋账户</w:t>
      </w:r>
      <w:proofErr w:type="gramEnd"/>
      <w:r>
        <w:rPr>
          <w:rFonts w:hint="eastAsia"/>
          <w:color w:val="000000"/>
          <w:sz w:val="24"/>
        </w:rPr>
        <w:t>不进行收益分配，详见招募说明书的规定。</w:t>
      </w:r>
    </w:p>
    <w:p w14:paraId="72418249" w14:textId="77777777" w:rsidR="001A6E24" w:rsidRDefault="000739D5">
      <w:pPr>
        <w:pStyle w:val="2"/>
        <w:spacing w:line="360" w:lineRule="auto"/>
        <w:jc w:val="center"/>
        <w:rPr>
          <w:rFonts w:ascii="Times New Roman" w:hAnsi="Times New Roman"/>
          <w:sz w:val="30"/>
        </w:rPr>
      </w:pPr>
      <w:r>
        <w:rPr>
          <w:rFonts w:ascii="宋体" w:hAnsi="宋体"/>
          <w:sz w:val="24"/>
          <w:lang w:val="en-GB"/>
        </w:rPr>
        <w:br w:type="column"/>
      </w:r>
      <w:r>
        <w:rPr>
          <w:rFonts w:ascii="Times New Roman" w:hAnsi="Times New Roman" w:hint="eastAsia"/>
          <w:sz w:val="30"/>
        </w:rPr>
        <w:lastRenderedPageBreak/>
        <w:t>十、基金信息披露</w:t>
      </w:r>
      <w:bookmarkEnd w:id="92"/>
    </w:p>
    <w:p w14:paraId="563031E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（一）保密义务</w:t>
      </w:r>
    </w:p>
    <w:p w14:paraId="11F7C08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8A24280"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非因基金管理人和基金托管人的原因导致保密信息被披露、泄露或公开；</w:t>
      </w:r>
    </w:p>
    <w:p w14:paraId="33DE1692"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基金管理人和基金托管人为遵守和服从法院判决或裁定、仲裁裁决或中国证监会等监管机构的命令、决定所做出的信息披露或公开。</w:t>
      </w:r>
    </w:p>
    <w:p w14:paraId="6A14B25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（二）信息披露的内容</w:t>
      </w:r>
    </w:p>
    <w:p w14:paraId="370B4CAA" w14:textId="77777777" w:rsidR="001A6E24" w:rsidRDefault="000739D5">
      <w:pPr>
        <w:spacing w:line="360" w:lineRule="auto"/>
        <w:ind w:firstLineChars="200" w:firstLine="480"/>
        <w:rPr>
          <w:sz w:val="24"/>
        </w:rPr>
      </w:pPr>
      <w:r>
        <w:rPr>
          <w:rFonts w:hint="eastAsia"/>
          <w:kern w:val="0"/>
          <w:sz w:val="24"/>
        </w:rPr>
        <w:t>基金的信息披露内容主要包括</w:t>
      </w:r>
      <w:r>
        <w:rPr>
          <w:rFonts w:hint="eastAsia"/>
          <w:sz w:val="24"/>
        </w:rPr>
        <w:t>基金招募说明书、《基金合同》、基金托管协议、基金产品资料概要</w:t>
      </w:r>
      <w:r>
        <w:rPr>
          <w:rFonts w:hint="eastAsia"/>
          <w:kern w:val="0"/>
          <w:sz w:val="24"/>
        </w:rPr>
        <w:t>、</w:t>
      </w:r>
      <w:r>
        <w:rPr>
          <w:rFonts w:hint="eastAsia"/>
          <w:sz w:val="24"/>
        </w:rPr>
        <w:t>基金份额发售公告</w:t>
      </w:r>
      <w:r>
        <w:rPr>
          <w:rFonts w:hint="eastAsia"/>
          <w:kern w:val="0"/>
          <w:sz w:val="24"/>
        </w:rPr>
        <w:t>、</w:t>
      </w:r>
      <w:r>
        <w:rPr>
          <w:rFonts w:hint="eastAsia"/>
          <w:sz w:val="24"/>
        </w:rPr>
        <w:t>《基金合同》生效公告</w:t>
      </w:r>
      <w:r>
        <w:rPr>
          <w:rFonts w:hint="eastAsia"/>
          <w:kern w:val="0"/>
          <w:sz w:val="24"/>
        </w:rPr>
        <w:t>、基金净值信息、基金份额申购、赎回价格、基金定期报告（包括基金年度报告、基金中期报告和基金季度报告）、临时报告、澄清公告、基金份额持有人大会决议、投资股指期货的信息披露、</w:t>
      </w:r>
      <w:r>
        <w:rPr>
          <w:rFonts w:hint="eastAsia"/>
          <w:sz w:val="24"/>
        </w:rPr>
        <w:t>投资</w:t>
      </w:r>
      <w:r>
        <w:rPr>
          <w:rFonts w:hint="eastAsia"/>
          <w:bCs/>
          <w:sz w:val="24"/>
        </w:rPr>
        <w:t>国债期货的信息披露、</w:t>
      </w:r>
      <w:r>
        <w:rPr>
          <w:rFonts w:hint="eastAsia"/>
          <w:kern w:val="0"/>
          <w:sz w:val="24"/>
        </w:rPr>
        <w:t>投资资产支持证券的信息披露、投资流通受限证券的信息披露、基金投资港股通标的股票的信息披露、</w:t>
      </w:r>
      <w:r>
        <w:rPr>
          <w:rFonts w:hint="eastAsia"/>
          <w:bCs/>
          <w:sz w:val="24"/>
        </w:rPr>
        <w:t>清算报告、实施</w:t>
      </w:r>
      <w:proofErr w:type="gramStart"/>
      <w:r>
        <w:rPr>
          <w:rFonts w:hint="eastAsia"/>
          <w:bCs/>
          <w:sz w:val="24"/>
        </w:rPr>
        <w:t>侧袋机制</w:t>
      </w:r>
      <w:proofErr w:type="gramEnd"/>
      <w:r>
        <w:rPr>
          <w:rFonts w:hint="eastAsia"/>
          <w:bCs/>
          <w:sz w:val="24"/>
        </w:rPr>
        <w:t>期间的信息披露、</w:t>
      </w:r>
      <w:r>
        <w:rPr>
          <w:rFonts w:hint="eastAsia"/>
          <w:kern w:val="0"/>
          <w:sz w:val="24"/>
        </w:rPr>
        <w:t>中国证监会规定的其他信息。基金年度报告中的财务会计报告需</w:t>
      </w:r>
      <w:proofErr w:type="gramStart"/>
      <w:r>
        <w:rPr>
          <w:rFonts w:hint="eastAsia"/>
          <w:kern w:val="0"/>
          <w:sz w:val="24"/>
        </w:rPr>
        <w:t>经符合</w:t>
      </w:r>
      <w:proofErr w:type="gramEnd"/>
      <w:r>
        <w:rPr>
          <w:rFonts w:hint="eastAsia"/>
          <w:kern w:val="0"/>
          <w:sz w:val="24"/>
        </w:rPr>
        <w:t>《中华人民共和国证券法》规定的会计师事务所审计后，方可披露。</w:t>
      </w:r>
    </w:p>
    <w:p w14:paraId="4788D60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（三）基金托管人和基金管理人在信息披露中的职责和信息披露程序</w:t>
      </w:r>
    </w:p>
    <w:p w14:paraId="67885E5A"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职责</w:t>
      </w:r>
    </w:p>
    <w:p w14:paraId="7598944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97D9C7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对于不需要基金托管人复核的信息，基金管理人在公告前应告知基金托管人。</w:t>
      </w:r>
    </w:p>
    <w:p w14:paraId="62E798D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基金管理人和基金托管人应积极配合、互相监督，保证其履行按照法定方式和限时披露的义务。</w:t>
      </w:r>
    </w:p>
    <w:p w14:paraId="69DFE27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根据法律法规应由基金托管人公开披露的信息，基金托管人将在中国证监会规定时间内，将应予披露的基金信息通过规定报刊及规定网站等媒介披露。</w:t>
      </w:r>
    </w:p>
    <w:p w14:paraId="4D01134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当出现下述情况时，基金管理人和基金托管人可暂停或延迟披露基金相关信息：</w:t>
      </w:r>
    </w:p>
    <w:p w14:paraId="3D4D6F46"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不可抗力；</w:t>
      </w:r>
    </w:p>
    <w:p w14:paraId="5EB29A28"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发生暂停估值的情形；</w:t>
      </w:r>
    </w:p>
    <w:p w14:paraId="04D0E68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法律法规规定、中国证监会或基金合同认定的其他情形。</w:t>
      </w:r>
    </w:p>
    <w:p w14:paraId="5D293F8E"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程序</w:t>
      </w:r>
    </w:p>
    <w:p w14:paraId="12781B5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按有关规定须经基金托管人复核的信息披露文件，由基金管理人起草、并经基金托管人复核后由基金管理人公告。发生《基金合同》中规定需要披露的事项时，按《基金合同》规定公布。</w:t>
      </w:r>
    </w:p>
    <w:p w14:paraId="24BE33B3"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信息文本的存放</w:t>
      </w:r>
    </w:p>
    <w:p w14:paraId="2FD2120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予以披露的信息文本，存放在基金管理人</w:t>
      </w:r>
      <w:r>
        <w:rPr>
          <w:kern w:val="0"/>
          <w:sz w:val="24"/>
        </w:rPr>
        <w:t>/</w:t>
      </w:r>
      <w:r>
        <w:rPr>
          <w:rFonts w:hint="eastAsia"/>
          <w:kern w:val="0"/>
          <w:sz w:val="24"/>
        </w:rPr>
        <w:t>基金托管人住所处，投资者可以免费查阅。在支付工本费后可在合理时间获得上述文件的复制件或复印件。基金管理人和基金托管人应保证文本的内容与所公告的内容完全一致。</w:t>
      </w:r>
      <w:bookmarkStart w:id="93" w:name="_Toc124325895"/>
    </w:p>
    <w:p w14:paraId="290957C7"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实施</w:t>
      </w:r>
      <w:proofErr w:type="gramStart"/>
      <w:r>
        <w:rPr>
          <w:rFonts w:hint="eastAsia"/>
          <w:kern w:val="0"/>
          <w:sz w:val="24"/>
        </w:rPr>
        <w:t>侧袋机制</w:t>
      </w:r>
      <w:proofErr w:type="gramEnd"/>
      <w:r>
        <w:rPr>
          <w:rFonts w:hint="eastAsia"/>
          <w:kern w:val="0"/>
          <w:sz w:val="24"/>
        </w:rPr>
        <w:t>期间的信息披露</w:t>
      </w:r>
    </w:p>
    <w:p w14:paraId="6679359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本基金实施</w:t>
      </w:r>
      <w:proofErr w:type="gramStart"/>
      <w:r>
        <w:rPr>
          <w:rFonts w:hint="eastAsia"/>
          <w:kern w:val="0"/>
          <w:sz w:val="24"/>
        </w:rPr>
        <w:t>侧袋机制</w:t>
      </w:r>
      <w:proofErr w:type="gramEnd"/>
      <w:r>
        <w:rPr>
          <w:rFonts w:hint="eastAsia"/>
          <w:kern w:val="0"/>
          <w:sz w:val="24"/>
        </w:rPr>
        <w:t>的，相关信息披露义务人应当根据法律法规、基金合同和招募说明书的规定进行信息披露，详见招募说明书的规定。</w:t>
      </w:r>
    </w:p>
    <w:p w14:paraId="530A1349" w14:textId="77777777" w:rsidR="001A6E24" w:rsidRDefault="000739D5">
      <w:pPr>
        <w:pStyle w:val="2"/>
        <w:spacing w:line="360" w:lineRule="auto"/>
        <w:jc w:val="center"/>
        <w:rPr>
          <w:rFonts w:ascii="Times New Roman" w:hAnsi="Times New Roman"/>
          <w:sz w:val="30"/>
        </w:rPr>
      </w:pPr>
      <w:r>
        <w:rPr>
          <w:rFonts w:ascii="Times New Roman" w:eastAsia="宋体" w:hAnsi="Times New Roman"/>
          <w:b w:val="0"/>
          <w:sz w:val="24"/>
          <w:szCs w:val="24"/>
        </w:rPr>
        <w:br w:type="column"/>
      </w:r>
      <w:r>
        <w:rPr>
          <w:rFonts w:ascii="Times New Roman" w:hAnsi="Times New Roman" w:hint="eastAsia"/>
          <w:sz w:val="30"/>
        </w:rPr>
        <w:lastRenderedPageBreak/>
        <w:t>十一、基金费用</w:t>
      </w:r>
      <w:bookmarkEnd w:id="93"/>
    </w:p>
    <w:p w14:paraId="4492B62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（一）基金管理费的计提比例和计提方法</w:t>
      </w:r>
    </w:p>
    <w:p w14:paraId="4B62DFD1" w14:textId="6BC67996" w:rsidR="001A6E24" w:rsidRDefault="000739D5">
      <w:pPr>
        <w:widowControl/>
        <w:adjustRightInd w:val="0"/>
        <w:snapToGrid w:val="0"/>
        <w:spacing w:line="360" w:lineRule="auto"/>
        <w:ind w:firstLineChars="200" w:firstLine="480"/>
        <w:rPr>
          <w:kern w:val="0"/>
          <w:sz w:val="24"/>
        </w:rPr>
      </w:pPr>
      <w:r>
        <w:rPr>
          <w:rFonts w:hint="eastAsia"/>
          <w:kern w:val="0"/>
          <w:sz w:val="24"/>
        </w:rPr>
        <w:t>本基金的管理费按前一日基金资产净值的</w:t>
      </w:r>
      <w:r w:rsidR="00E77B6B">
        <w:rPr>
          <w:kern w:val="0"/>
          <w:sz w:val="24"/>
        </w:rPr>
        <w:t>1.20</w:t>
      </w:r>
      <w:r>
        <w:rPr>
          <w:rFonts w:hint="eastAsia"/>
          <w:kern w:val="0"/>
          <w:sz w:val="24"/>
        </w:rPr>
        <w:t>%</w:t>
      </w:r>
      <w:r>
        <w:rPr>
          <w:rFonts w:hint="eastAsia"/>
          <w:kern w:val="0"/>
          <w:sz w:val="24"/>
        </w:rPr>
        <w:t>的年费率计提。管理费的计算方法如下：</w:t>
      </w:r>
    </w:p>
    <w:p w14:paraId="2B31331D" w14:textId="28597119" w:rsidR="001A6E24" w:rsidRDefault="000739D5">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w:t>
      </w:r>
      <w:r>
        <w:rPr>
          <w:rFonts w:hint="eastAsia"/>
          <w:kern w:val="0"/>
          <w:sz w:val="24"/>
        </w:rPr>
        <w:t>E</w:t>
      </w:r>
      <w:r>
        <w:rPr>
          <w:rFonts w:hint="eastAsia"/>
          <w:kern w:val="0"/>
          <w:sz w:val="24"/>
        </w:rPr>
        <w:t>×</w:t>
      </w:r>
      <w:r w:rsidR="006075F1">
        <w:rPr>
          <w:kern w:val="0"/>
          <w:sz w:val="24"/>
        </w:rPr>
        <w:t>1.20</w:t>
      </w:r>
      <w:r>
        <w:rPr>
          <w:rFonts w:hint="eastAsia"/>
          <w:kern w:val="0"/>
          <w:sz w:val="24"/>
        </w:rPr>
        <w:t>%</w:t>
      </w:r>
      <w:r>
        <w:rPr>
          <w:rFonts w:hint="eastAsia"/>
          <w:kern w:val="0"/>
          <w:sz w:val="24"/>
        </w:rPr>
        <w:t>÷当年天数</w:t>
      </w:r>
    </w:p>
    <w:p w14:paraId="19829F6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为每日应计提的基金管理费</w:t>
      </w:r>
    </w:p>
    <w:p w14:paraId="4328F66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E</w:t>
      </w:r>
      <w:r>
        <w:rPr>
          <w:rFonts w:hint="eastAsia"/>
          <w:kern w:val="0"/>
          <w:sz w:val="24"/>
        </w:rPr>
        <w:t>为前一日的基金资产净值</w:t>
      </w:r>
    </w:p>
    <w:p w14:paraId="1582713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（二）基金托管费的计提比例和计提方法</w:t>
      </w:r>
    </w:p>
    <w:p w14:paraId="483D241D" w14:textId="0A54A70C" w:rsidR="001A6E24" w:rsidRDefault="000739D5">
      <w:pPr>
        <w:widowControl/>
        <w:adjustRightInd w:val="0"/>
        <w:snapToGrid w:val="0"/>
        <w:spacing w:line="360" w:lineRule="auto"/>
        <w:ind w:firstLineChars="200" w:firstLine="480"/>
        <w:rPr>
          <w:kern w:val="0"/>
          <w:sz w:val="24"/>
        </w:rPr>
      </w:pPr>
      <w:r>
        <w:rPr>
          <w:rFonts w:hint="eastAsia"/>
          <w:kern w:val="0"/>
          <w:sz w:val="24"/>
        </w:rPr>
        <w:t>本基金的托管费按前一日基金资产净值的</w:t>
      </w:r>
      <w:r w:rsidR="006742AD">
        <w:rPr>
          <w:kern w:val="0"/>
          <w:sz w:val="24"/>
        </w:rPr>
        <w:t>0.20</w:t>
      </w:r>
      <w:r>
        <w:rPr>
          <w:rFonts w:hint="eastAsia"/>
          <w:kern w:val="0"/>
          <w:sz w:val="24"/>
        </w:rPr>
        <w:t>%</w:t>
      </w:r>
      <w:r>
        <w:rPr>
          <w:rFonts w:hint="eastAsia"/>
          <w:kern w:val="0"/>
          <w:sz w:val="24"/>
        </w:rPr>
        <w:t>的年费率计提。托管费的计算方法如下：</w:t>
      </w:r>
    </w:p>
    <w:p w14:paraId="6C9F5907" w14:textId="6C993E77" w:rsidR="001A6E24" w:rsidRDefault="000739D5">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w:t>
      </w:r>
      <w:r>
        <w:rPr>
          <w:rFonts w:hint="eastAsia"/>
          <w:kern w:val="0"/>
          <w:sz w:val="24"/>
        </w:rPr>
        <w:t>E</w:t>
      </w:r>
      <w:r>
        <w:rPr>
          <w:rFonts w:hint="eastAsia"/>
          <w:kern w:val="0"/>
          <w:sz w:val="24"/>
        </w:rPr>
        <w:t>×</w:t>
      </w:r>
      <w:r w:rsidR="00C14FB3">
        <w:rPr>
          <w:kern w:val="0"/>
          <w:sz w:val="24"/>
        </w:rPr>
        <w:t>0.20</w:t>
      </w:r>
      <w:r>
        <w:rPr>
          <w:rFonts w:hint="eastAsia"/>
          <w:kern w:val="0"/>
          <w:sz w:val="24"/>
        </w:rPr>
        <w:t>%</w:t>
      </w:r>
      <w:r>
        <w:rPr>
          <w:rFonts w:hint="eastAsia"/>
          <w:kern w:val="0"/>
          <w:sz w:val="24"/>
        </w:rPr>
        <w:t>÷当年天数</w:t>
      </w:r>
    </w:p>
    <w:p w14:paraId="3827625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为每日应计提的基金托管费</w:t>
      </w:r>
    </w:p>
    <w:p w14:paraId="59F4AD1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E</w:t>
      </w:r>
      <w:r>
        <w:rPr>
          <w:rFonts w:hint="eastAsia"/>
          <w:kern w:val="0"/>
          <w:sz w:val="24"/>
        </w:rPr>
        <w:t>为前一日的基金资产净值</w:t>
      </w:r>
    </w:p>
    <w:p w14:paraId="1AA17DD6" w14:textId="77777777" w:rsidR="001A6E24" w:rsidRDefault="000739D5">
      <w:pPr>
        <w:spacing w:line="360" w:lineRule="auto"/>
        <w:ind w:firstLineChars="200" w:firstLine="480"/>
        <w:rPr>
          <w:sz w:val="24"/>
        </w:rPr>
      </w:pPr>
      <w:r>
        <w:rPr>
          <w:rFonts w:hint="eastAsia"/>
          <w:bCs/>
          <w:sz w:val="24"/>
        </w:rPr>
        <w:t>（三）</w:t>
      </w:r>
      <w:r>
        <w:rPr>
          <w:bCs/>
          <w:sz w:val="24"/>
        </w:rPr>
        <w:t>C</w:t>
      </w:r>
      <w:r>
        <w:rPr>
          <w:rFonts w:hint="eastAsia"/>
          <w:bCs/>
          <w:sz w:val="24"/>
        </w:rPr>
        <w:t>类基金份额的基金销售服务费的计提比例和计提方法</w:t>
      </w:r>
    </w:p>
    <w:p w14:paraId="406547D8" w14:textId="77777777" w:rsidR="001A6E24" w:rsidRDefault="000739D5">
      <w:pPr>
        <w:spacing w:line="360" w:lineRule="auto"/>
        <w:ind w:firstLineChars="200" w:firstLine="480"/>
        <w:rPr>
          <w:bCs/>
          <w:sz w:val="24"/>
        </w:rPr>
      </w:pPr>
      <w:r>
        <w:rPr>
          <w:rFonts w:hint="eastAsia"/>
          <w:bCs/>
          <w:sz w:val="24"/>
        </w:rPr>
        <w:t>销售服务费可用于本基金市场推广、销售以及基金份额持有人服务等各项费用。本基金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bCs/>
          <w:sz w:val="24"/>
        </w:rPr>
        <w:t>0.50</w:t>
      </w:r>
      <w:r>
        <w:rPr>
          <w:rFonts w:hint="eastAsia"/>
          <w:bCs/>
          <w:sz w:val="24"/>
        </w:rPr>
        <w:t>%</w:t>
      </w:r>
      <w:r>
        <w:rPr>
          <w:rFonts w:hint="eastAsia"/>
          <w:bCs/>
          <w:sz w:val="24"/>
        </w:rPr>
        <w:t>。</w:t>
      </w:r>
    </w:p>
    <w:p w14:paraId="0881FFCA" w14:textId="77777777" w:rsidR="001A6E24" w:rsidRDefault="000739D5">
      <w:pPr>
        <w:spacing w:line="360" w:lineRule="auto"/>
        <w:ind w:firstLineChars="200" w:firstLine="480"/>
        <w:rPr>
          <w:bCs/>
          <w:sz w:val="24"/>
        </w:rPr>
      </w:pPr>
      <w:r>
        <w:rPr>
          <w:rFonts w:hint="eastAsia"/>
          <w:bCs/>
          <w:sz w:val="24"/>
        </w:rPr>
        <w:t>本基金销售服务费按前一日</w:t>
      </w:r>
      <w:r>
        <w:rPr>
          <w:rFonts w:hint="eastAsia"/>
          <w:bCs/>
          <w:sz w:val="24"/>
        </w:rPr>
        <w:t>C</w:t>
      </w:r>
      <w:r>
        <w:rPr>
          <w:rFonts w:hint="eastAsia"/>
          <w:bCs/>
          <w:sz w:val="24"/>
        </w:rPr>
        <w:t>类基金资产净值的</w:t>
      </w:r>
      <w:r>
        <w:rPr>
          <w:bCs/>
          <w:sz w:val="24"/>
        </w:rPr>
        <w:t>0.50</w:t>
      </w:r>
      <w:r>
        <w:rPr>
          <w:rFonts w:hint="eastAsia"/>
          <w:bCs/>
          <w:sz w:val="24"/>
        </w:rPr>
        <w:t>%</w:t>
      </w:r>
      <w:r>
        <w:rPr>
          <w:rFonts w:hint="eastAsia"/>
          <w:bCs/>
          <w:sz w:val="24"/>
        </w:rPr>
        <w:t>的年费率计提。</w:t>
      </w:r>
      <w:r>
        <w:rPr>
          <w:rFonts w:hint="eastAsia"/>
          <w:bCs/>
          <w:sz w:val="24"/>
        </w:rPr>
        <w:t>C</w:t>
      </w:r>
      <w:r>
        <w:rPr>
          <w:rFonts w:hint="eastAsia"/>
          <w:bCs/>
          <w:sz w:val="24"/>
        </w:rPr>
        <w:t>类基金份额的销售服务费计算方法如下：</w:t>
      </w:r>
    </w:p>
    <w:p w14:paraId="7E3EA572" w14:textId="77777777" w:rsidR="001A6E24" w:rsidRDefault="000739D5">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0.50</w:t>
      </w:r>
      <w:r>
        <w:rPr>
          <w:rFonts w:hint="eastAsia"/>
          <w:bCs/>
          <w:sz w:val="24"/>
        </w:rPr>
        <w:t>%</w:t>
      </w:r>
      <w:r>
        <w:rPr>
          <w:rFonts w:hint="eastAsia"/>
          <w:bCs/>
          <w:sz w:val="24"/>
        </w:rPr>
        <w:t>÷当年天数</w:t>
      </w:r>
    </w:p>
    <w:p w14:paraId="445E080A" w14:textId="77777777" w:rsidR="001A6E24" w:rsidRDefault="000739D5">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66674AC3" w14:textId="77777777" w:rsidR="001A6E24" w:rsidRDefault="000739D5">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23AC0098" w14:textId="77777777" w:rsidR="001A6E24" w:rsidRDefault="000739D5">
      <w:pPr>
        <w:spacing w:line="360" w:lineRule="auto"/>
        <w:ind w:firstLineChars="200" w:firstLine="480"/>
        <w:rPr>
          <w:kern w:val="0"/>
          <w:sz w:val="24"/>
        </w:rPr>
      </w:pPr>
      <w:r>
        <w:rPr>
          <w:rFonts w:hint="eastAsia"/>
          <w:bCs/>
          <w:sz w:val="24"/>
        </w:rPr>
        <w:t>（四）《基金合同》生效后与基金相关的信息披露费用（但法律法规、中国证监会另有规定的除外）、《基金合同》生效后与基金有关的会计师费、律师费、仲裁费和诉讼费、基金份额持有人大会费用、基金的证券、期货交易费用、基金的银</w:t>
      </w:r>
      <w:r>
        <w:rPr>
          <w:rFonts w:hint="eastAsia"/>
          <w:kern w:val="0"/>
          <w:sz w:val="24"/>
        </w:rPr>
        <w:t>行汇划费用、基金的相关账户的开户及维护费用、因投资港股通标的股票而产生的各项合理费用等根据有关法律法规、《基金合同》及相应协议的规定，列入当期基金费用。</w:t>
      </w:r>
    </w:p>
    <w:p w14:paraId="189F945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（五）不列入基金费用的项目</w:t>
      </w:r>
    </w:p>
    <w:p w14:paraId="3D09E41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3F80C33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（六）基金管理费、基金托管费和</w:t>
      </w:r>
      <w:r>
        <w:rPr>
          <w:rFonts w:hint="eastAsia"/>
          <w:bCs/>
          <w:sz w:val="24"/>
        </w:rPr>
        <w:t>C</w:t>
      </w:r>
      <w:r>
        <w:rPr>
          <w:rFonts w:hint="eastAsia"/>
          <w:bCs/>
          <w:sz w:val="24"/>
        </w:rPr>
        <w:t>类基金份额的销售服务费</w:t>
      </w:r>
      <w:r>
        <w:rPr>
          <w:rFonts w:hint="eastAsia"/>
          <w:kern w:val="0"/>
          <w:sz w:val="24"/>
        </w:rPr>
        <w:t>的复核程序、支付方式和时间</w:t>
      </w:r>
    </w:p>
    <w:p w14:paraId="49CED66C"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复核程序</w:t>
      </w:r>
    </w:p>
    <w:p w14:paraId="1F04D03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基金托管人对基金管理人计提的基金管理费、基金托管费和</w:t>
      </w:r>
      <w:r>
        <w:rPr>
          <w:rFonts w:hint="eastAsia"/>
          <w:bCs/>
          <w:sz w:val="24"/>
        </w:rPr>
        <w:t>C</w:t>
      </w:r>
      <w:r>
        <w:rPr>
          <w:rFonts w:hint="eastAsia"/>
          <w:bCs/>
          <w:sz w:val="24"/>
        </w:rPr>
        <w:t>类基金份额的销售服务费</w:t>
      </w:r>
      <w:r>
        <w:rPr>
          <w:rFonts w:hint="eastAsia"/>
          <w:kern w:val="0"/>
          <w:sz w:val="24"/>
        </w:rPr>
        <w:t>，根据本托管协议和《基金合同》的有关规定进行复核。</w:t>
      </w:r>
    </w:p>
    <w:p w14:paraId="16B4A5CD"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支付方式和时间</w:t>
      </w:r>
    </w:p>
    <w:p w14:paraId="2B49587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基金管理费、基金托管费和</w:t>
      </w:r>
      <w:r>
        <w:rPr>
          <w:rFonts w:hint="eastAsia"/>
          <w:bCs/>
          <w:sz w:val="24"/>
        </w:rPr>
        <w:t>C</w:t>
      </w:r>
      <w:r>
        <w:rPr>
          <w:rFonts w:hint="eastAsia"/>
          <w:bCs/>
          <w:sz w:val="24"/>
        </w:rPr>
        <w:t>类基金份额的销售服务费</w:t>
      </w:r>
      <w:r>
        <w:rPr>
          <w:rFonts w:hint="eastAsia"/>
          <w:kern w:val="0"/>
          <w:sz w:val="24"/>
        </w:rPr>
        <w:t>每日计算，逐日累计至每月月末，按月支付。由基金托管人根据与基金管理人核对一致的财务数据，于次月前</w:t>
      </w:r>
      <w:r>
        <w:rPr>
          <w:rFonts w:hint="eastAsia"/>
          <w:kern w:val="0"/>
          <w:sz w:val="24"/>
        </w:rPr>
        <w:t>5</w:t>
      </w:r>
      <w:r>
        <w:rPr>
          <w:rFonts w:hint="eastAsia"/>
          <w:kern w:val="0"/>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7D32FB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在首期支付基金管理费、</w:t>
      </w:r>
      <w:r>
        <w:rPr>
          <w:rFonts w:hint="eastAsia"/>
          <w:bCs/>
          <w:sz w:val="24"/>
        </w:rPr>
        <w:t>C</w:t>
      </w:r>
      <w:r>
        <w:rPr>
          <w:rFonts w:hint="eastAsia"/>
          <w:bCs/>
          <w:sz w:val="24"/>
        </w:rPr>
        <w:t>类基金份额的销售服务费</w:t>
      </w:r>
      <w:r>
        <w:rPr>
          <w:rFonts w:hint="eastAsia"/>
          <w:kern w:val="0"/>
          <w:sz w:val="24"/>
        </w:rPr>
        <w:t>前，基金管理人应向托管人出具正式函件指定基金管理费、</w:t>
      </w:r>
      <w:r>
        <w:rPr>
          <w:rFonts w:hint="eastAsia"/>
          <w:bCs/>
          <w:sz w:val="24"/>
        </w:rPr>
        <w:t>C</w:t>
      </w:r>
      <w:r>
        <w:rPr>
          <w:rFonts w:hint="eastAsia"/>
          <w:bCs/>
          <w:sz w:val="24"/>
        </w:rPr>
        <w:t>类基金份额的销售服务费</w:t>
      </w:r>
      <w:r>
        <w:rPr>
          <w:rFonts w:hint="eastAsia"/>
          <w:kern w:val="0"/>
          <w:sz w:val="24"/>
        </w:rPr>
        <w:t>的收款账户。基金管理人如需要</w:t>
      </w:r>
      <w:proofErr w:type="gramStart"/>
      <w:r>
        <w:rPr>
          <w:rFonts w:hint="eastAsia"/>
          <w:kern w:val="0"/>
          <w:sz w:val="24"/>
        </w:rPr>
        <w:t>变更此</w:t>
      </w:r>
      <w:proofErr w:type="gramEnd"/>
      <w:r>
        <w:rPr>
          <w:rFonts w:hint="eastAsia"/>
          <w:kern w:val="0"/>
          <w:sz w:val="24"/>
        </w:rPr>
        <w:t>账户，应提前</w:t>
      </w:r>
      <w:r>
        <w:rPr>
          <w:kern w:val="0"/>
          <w:sz w:val="24"/>
        </w:rPr>
        <w:t>5</w:t>
      </w:r>
      <w:r>
        <w:rPr>
          <w:rFonts w:hint="eastAsia"/>
          <w:kern w:val="0"/>
          <w:sz w:val="24"/>
        </w:rPr>
        <w:t>个工作日向托管人出具书面的收款账户变更通知。</w:t>
      </w:r>
    </w:p>
    <w:p w14:paraId="3BDA1D3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（七）违规处理方式</w:t>
      </w:r>
    </w:p>
    <w:p w14:paraId="39A0182E" w14:textId="77777777" w:rsidR="001A6E24" w:rsidRDefault="000739D5">
      <w:pPr>
        <w:spacing w:line="360" w:lineRule="auto"/>
        <w:ind w:firstLineChars="200" w:firstLine="480"/>
        <w:rPr>
          <w:kern w:val="0"/>
          <w:sz w:val="24"/>
        </w:rPr>
      </w:pPr>
      <w:r>
        <w:rPr>
          <w:rFonts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94" w:name="_Toc124325896"/>
    </w:p>
    <w:p w14:paraId="4DCC7BF2" w14:textId="77777777" w:rsidR="001A6E24" w:rsidRDefault="000739D5">
      <w:pPr>
        <w:spacing w:line="360" w:lineRule="auto"/>
        <w:ind w:firstLineChars="200" w:firstLine="480"/>
        <w:rPr>
          <w:bCs/>
          <w:sz w:val="24"/>
        </w:rPr>
      </w:pPr>
      <w:r>
        <w:rPr>
          <w:rFonts w:hint="eastAsia"/>
          <w:kern w:val="0"/>
          <w:sz w:val="24"/>
        </w:rPr>
        <w:t>（八）</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38BBC795" w14:textId="77777777" w:rsidR="001A6E24" w:rsidRDefault="000739D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16E482B6" w14:textId="77777777" w:rsidR="001A6E24" w:rsidRDefault="001A6E24">
      <w:pPr>
        <w:widowControl/>
        <w:adjustRightInd w:val="0"/>
        <w:snapToGrid w:val="0"/>
        <w:spacing w:line="360" w:lineRule="auto"/>
        <w:ind w:firstLineChars="200" w:firstLine="480"/>
        <w:rPr>
          <w:kern w:val="0"/>
          <w:sz w:val="24"/>
        </w:rPr>
      </w:pPr>
    </w:p>
    <w:p w14:paraId="577742F4"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十二、基金份额持有人名册的保管</w:t>
      </w:r>
      <w:bookmarkEnd w:id="94"/>
    </w:p>
    <w:p w14:paraId="1550656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少于法律法规规定的最低期限。如不能妥善保管，则按相关法规承担责任。</w:t>
      </w:r>
    </w:p>
    <w:p w14:paraId="484E12C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bookmarkStart w:id="95" w:name="_Toc124325897"/>
    </w:p>
    <w:p w14:paraId="76343722" w14:textId="77777777" w:rsidR="001A6E24" w:rsidRDefault="000739D5">
      <w:pPr>
        <w:pStyle w:val="2"/>
        <w:spacing w:line="360" w:lineRule="auto"/>
        <w:jc w:val="center"/>
        <w:rPr>
          <w:rFonts w:ascii="Times New Roman" w:hAnsi="Times New Roman"/>
          <w:sz w:val="30"/>
        </w:rPr>
      </w:pPr>
      <w:r>
        <w:rPr>
          <w:rFonts w:ascii="彩虹粗仿宋" w:hAnsi="宋体"/>
          <w:sz w:val="24"/>
        </w:rPr>
        <w:br w:type="column"/>
      </w:r>
      <w:r>
        <w:rPr>
          <w:rFonts w:ascii="Times New Roman" w:hAnsi="Times New Roman" w:hint="eastAsia"/>
          <w:sz w:val="30"/>
        </w:rPr>
        <w:lastRenderedPageBreak/>
        <w:t>十三、基金有关文件档案的保存</w:t>
      </w:r>
      <w:bookmarkEnd w:id="95"/>
    </w:p>
    <w:p w14:paraId="4C340C6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（一）档案保存</w:t>
      </w:r>
    </w:p>
    <w:p w14:paraId="03CDEC8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期限。</w:t>
      </w:r>
    </w:p>
    <w:p w14:paraId="0DF871C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（二）合同档案的建立</w:t>
      </w:r>
    </w:p>
    <w:p w14:paraId="0F30CA1D"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基金管理人签署重大合同文本后，应及时将合同文本正本送达基金托管人处。</w:t>
      </w:r>
    </w:p>
    <w:p w14:paraId="5DC67B92"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基金管理人应及时将与本基金账务处理、资金划拨等有关的合同、协议传真基金托管人。</w:t>
      </w:r>
    </w:p>
    <w:p w14:paraId="227F835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（三）变更与协助</w:t>
      </w:r>
    </w:p>
    <w:p w14:paraId="10DF0271" w14:textId="77777777" w:rsidR="001A6E24" w:rsidRDefault="000739D5">
      <w:pPr>
        <w:widowControl/>
        <w:adjustRightInd w:val="0"/>
        <w:snapToGrid w:val="0"/>
        <w:spacing w:line="360" w:lineRule="auto"/>
        <w:ind w:firstLineChars="200" w:firstLine="480"/>
        <w:rPr>
          <w:kern w:val="0"/>
          <w:sz w:val="24"/>
        </w:rPr>
      </w:pPr>
      <w:proofErr w:type="gramStart"/>
      <w:r>
        <w:rPr>
          <w:rFonts w:hint="eastAsia"/>
          <w:kern w:val="0"/>
          <w:sz w:val="24"/>
        </w:rPr>
        <w:t>若基金</w:t>
      </w:r>
      <w:proofErr w:type="gramEnd"/>
      <w:r>
        <w:rPr>
          <w:rFonts w:hint="eastAsia"/>
          <w:kern w:val="0"/>
          <w:sz w:val="24"/>
        </w:rPr>
        <w:t>管理人</w:t>
      </w:r>
      <w:r>
        <w:rPr>
          <w:kern w:val="0"/>
          <w:sz w:val="24"/>
        </w:rPr>
        <w:t>/</w:t>
      </w:r>
      <w:r>
        <w:rPr>
          <w:rFonts w:hint="eastAsia"/>
          <w:kern w:val="0"/>
          <w:sz w:val="24"/>
        </w:rPr>
        <w:t>基金托管人发生变更，未变更的一方有义务协助变更后的接任人接收相应文件。</w:t>
      </w:r>
    </w:p>
    <w:p w14:paraId="566D6E5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（四）基金管理人和基金托管人应按各自职责完整保存原始凭证、记账凭证、基金账册、交易记录和重要合同等，承担保密义务并保存至少法律法规规定的最低期限。</w:t>
      </w:r>
      <w:bookmarkStart w:id="96" w:name="_Toc124325898"/>
    </w:p>
    <w:p w14:paraId="3F2F99F0"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十四、基金管理人和基金托管人的更换</w:t>
      </w:r>
      <w:bookmarkEnd w:id="96"/>
    </w:p>
    <w:p w14:paraId="20314FD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（一）基金管理人职责终止的情形</w:t>
      </w:r>
    </w:p>
    <w:p w14:paraId="1ED1127F"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基金管理人职责终止的情形</w:t>
      </w:r>
    </w:p>
    <w:p w14:paraId="55BF63B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有下列情形之一的，基金管理人职责终止：</w:t>
      </w:r>
    </w:p>
    <w:p w14:paraId="2A61F5B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）被依法取消基金管理资格；</w:t>
      </w:r>
    </w:p>
    <w:p w14:paraId="0B1C663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）被基金份额持有人大会解任；</w:t>
      </w:r>
    </w:p>
    <w:p w14:paraId="5B89312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）依法解散、被依法撤销或被依法宣告破产；</w:t>
      </w:r>
    </w:p>
    <w:p w14:paraId="3930813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）法律法规及中国证监会规定的和《基金合同》约定的其他情形。</w:t>
      </w:r>
    </w:p>
    <w:p w14:paraId="14D9C3BF"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基金管理人的更换程序</w:t>
      </w:r>
    </w:p>
    <w:p w14:paraId="013722A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更换基金管理人必须依照如下程序进行：</w:t>
      </w:r>
    </w:p>
    <w:p w14:paraId="3B39E15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）提名：</w:t>
      </w:r>
      <w:proofErr w:type="gramStart"/>
      <w:r>
        <w:rPr>
          <w:rFonts w:hint="eastAsia"/>
          <w:kern w:val="0"/>
          <w:sz w:val="24"/>
        </w:rPr>
        <w:t>新任基金</w:t>
      </w:r>
      <w:proofErr w:type="gramEnd"/>
      <w:r>
        <w:rPr>
          <w:rFonts w:hint="eastAsia"/>
          <w:kern w:val="0"/>
          <w:sz w:val="24"/>
        </w:rPr>
        <w:t>管理人由基金托管人或由单独或合计持有</w:t>
      </w:r>
      <w:r>
        <w:rPr>
          <w:rFonts w:hint="eastAsia"/>
          <w:kern w:val="0"/>
          <w:sz w:val="24"/>
        </w:rPr>
        <w:t>10%</w:t>
      </w:r>
      <w:r>
        <w:rPr>
          <w:rFonts w:hint="eastAsia"/>
          <w:kern w:val="0"/>
          <w:sz w:val="24"/>
        </w:rPr>
        <w:t>以上（含</w:t>
      </w:r>
      <w:r>
        <w:rPr>
          <w:rFonts w:hint="eastAsia"/>
          <w:kern w:val="0"/>
          <w:sz w:val="24"/>
        </w:rPr>
        <w:t>10%</w:t>
      </w:r>
      <w:r>
        <w:rPr>
          <w:rFonts w:hint="eastAsia"/>
          <w:kern w:val="0"/>
          <w:sz w:val="24"/>
        </w:rPr>
        <w:t>）基金份额的基金份额持有人提名；</w:t>
      </w:r>
    </w:p>
    <w:p w14:paraId="3687DEE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）决议：基金份额持有人大会在基金管理人职责终止后</w:t>
      </w:r>
      <w:r>
        <w:rPr>
          <w:rFonts w:hint="eastAsia"/>
          <w:kern w:val="0"/>
          <w:sz w:val="24"/>
        </w:rPr>
        <w:t>6</w:t>
      </w:r>
      <w:r>
        <w:rPr>
          <w:rFonts w:hint="eastAsia"/>
          <w:kern w:val="0"/>
          <w:sz w:val="24"/>
        </w:rPr>
        <w:t>个月内对被提名的基金管理人形成决议，该决议需经参加大会的基金份额持有人所持表决权的三分之二以上（含三分之二）表决通过，决议自表决通过之日起生效；</w:t>
      </w:r>
    </w:p>
    <w:p w14:paraId="157EACE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）临时基金管理人：</w:t>
      </w:r>
      <w:proofErr w:type="gramStart"/>
      <w:r>
        <w:rPr>
          <w:rFonts w:hint="eastAsia"/>
          <w:kern w:val="0"/>
          <w:sz w:val="24"/>
        </w:rPr>
        <w:t>新任基金</w:t>
      </w:r>
      <w:proofErr w:type="gramEnd"/>
      <w:r>
        <w:rPr>
          <w:rFonts w:hint="eastAsia"/>
          <w:kern w:val="0"/>
          <w:sz w:val="24"/>
        </w:rPr>
        <w:t>管理人产生之前，由中国证监会指定临时基金管理人；</w:t>
      </w:r>
    </w:p>
    <w:p w14:paraId="37BC6FE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）备案：基金份额持有人大会更换基金管理人的决议须报中国证监会备案；</w:t>
      </w:r>
    </w:p>
    <w:p w14:paraId="531E34D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）公告：基金管理人更换后，由基金托管人在更换基金管理人的基金份额持有人大会决议生效后</w:t>
      </w:r>
      <w:r>
        <w:rPr>
          <w:rFonts w:hint="eastAsia"/>
          <w:kern w:val="0"/>
          <w:sz w:val="24"/>
        </w:rPr>
        <w:t>2</w:t>
      </w:r>
      <w:r>
        <w:rPr>
          <w:rFonts w:hint="eastAsia"/>
          <w:kern w:val="0"/>
          <w:sz w:val="24"/>
        </w:rPr>
        <w:t>日内在规定媒介公告；</w:t>
      </w:r>
    </w:p>
    <w:p w14:paraId="48DE8F0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）交接：基金管理人职责终止的，基金管理人应妥善保管基金管理业务资料，及时向临时基金管理人或</w:t>
      </w:r>
      <w:proofErr w:type="gramStart"/>
      <w:r>
        <w:rPr>
          <w:rFonts w:hint="eastAsia"/>
          <w:kern w:val="0"/>
          <w:sz w:val="24"/>
        </w:rPr>
        <w:t>新任基金</w:t>
      </w:r>
      <w:proofErr w:type="gramEnd"/>
      <w:r>
        <w:rPr>
          <w:rFonts w:hint="eastAsia"/>
          <w:kern w:val="0"/>
          <w:sz w:val="24"/>
        </w:rPr>
        <w:t>管理人办理基金管理业务的移交手续，临时基金管理人或</w:t>
      </w:r>
      <w:proofErr w:type="gramStart"/>
      <w:r>
        <w:rPr>
          <w:rFonts w:hint="eastAsia"/>
          <w:kern w:val="0"/>
          <w:sz w:val="24"/>
        </w:rPr>
        <w:t>新任基金</w:t>
      </w:r>
      <w:proofErr w:type="gramEnd"/>
      <w:r>
        <w:rPr>
          <w:rFonts w:hint="eastAsia"/>
          <w:kern w:val="0"/>
          <w:sz w:val="24"/>
        </w:rPr>
        <w:t>管理人应及时接收。临时基金管理人或</w:t>
      </w:r>
      <w:proofErr w:type="gramStart"/>
      <w:r>
        <w:rPr>
          <w:rFonts w:hint="eastAsia"/>
          <w:kern w:val="0"/>
          <w:sz w:val="24"/>
        </w:rPr>
        <w:t>新任基金</w:t>
      </w:r>
      <w:proofErr w:type="gramEnd"/>
      <w:r>
        <w:rPr>
          <w:rFonts w:hint="eastAsia"/>
          <w:kern w:val="0"/>
          <w:sz w:val="24"/>
        </w:rPr>
        <w:t>管理人应与基金托管人核对基金资产总值和净值；</w:t>
      </w:r>
    </w:p>
    <w:p w14:paraId="1D21AE6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审计：基金管理人职责终止的，应当按照法律法规规定聘请符合《中华人民共和国证券法》规定的会计师事务所对基金财产进行审计，并将审计结果予以公告，同时报中国证监会备案，审计费用在基金财产中列支；</w:t>
      </w:r>
    </w:p>
    <w:p w14:paraId="302B608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8</w:t>
      </w:r>
      <w:r>
        <w:rPr>
          <w:rFonts w:hint="eastAsia"/>
          <w:kern w:val="0"/>
          <w:sz w:val="24"/>
        </w:rPr>
        <w:t>）基金名称变更：基金管理人更换后，如果原任或</w:t>
      </w:r>
      <w:proofErr w:type="gramStart"/>
      <w:r>
        <w:rPr>
          <w:rFonts w:hint="eastAsia"/>
          <w:kern w:val="0"/>
          <w:sz w:val="24"/>
        </w:rPr>
        <w:t>新任基金</w:t>
      </w:r>
      <w:proofErr w:type="gramEnd"/>
      <w:r>
        <w:rPr>
          <w:rFonts w:hint="eastAsia"/>
          <w:kern w:val="0"/>
          <w:sz w:val="24"/>
        </w:rPr>
        <w:t>管理人要求，应按其要求替换或删除基金名称中与</w:t>
      </w:r>
      <w:proofErr w:type="gramStart"/>
      <w:r>
        <w:rPr>
          <w:rFonts w:hint="eastAsia"/>
          <w:kern w:val="0"/>
          <w:sz w:val="24"/>
        </w:rPr>
        <w:t>原基金</w:t>
      </w:r>
      <w:proofErr w:type="gramEnd"/>
      <w:r>
        <w:rPr>
          <w:rFonts w:hint="eastAsia"/>
          <w:kern w:val="0"/>
          <w:sz w:val="24"/>
        </w:rPr>
        <w:t>管理人有关的名称字样。</w:t>
      </w:r>
    </w:p>
    <w:p w14:paraId="0B22279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（二）基金托管人职责终止的情形</w:t>
      </w:r>
    </w:p>
    <w:p w14:paraId="38553621"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基金托管人职责终止的情形</w:t>
      </w:r>
    </w:p>
    <w:p w14:paraId="380A4FE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有下列情形之一的，基金托管人职责终止：</w:t>
      </w:r>
    </w:p>
    <w:p w14:paraId="7EA8286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）被依法取消基金托管资格；</w:t>
      </w:r>
    </w:p>
    <w:p w14:paraId="14240A2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）被基金份额持有人大会解任；</w:t>
      </w:r>
    </w:p>
    <w:p w14:paraId="45A686A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）依法解散、被依法撤销或被依法宣告破产；</w:t>
      </w:r>
    </w:p>
    <w:p w14:paraId="2088CAF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）法律法规及中国证监会规定的和《基金合同》约定的其他情形。</w:t>
      </w:r>
    </w:p>
    <w:p w14:paraId="3ADF9A88"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基金托管人的更换程序</w:t>
      </w:r>
    </w:p>
    <w:p w14:paraId="2F3838B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）提名：</w:t>
      </w:r>
      <w:proofErr w:type="gramStart"/>
      <w:r>
        <w:rPr>
          <w:rFonts w:hint="eastAsia"/>
          <w:kern w:val="0"/>
          <w:sz w:val="24"/>
        </w:rPr>
        <w:t>新任基金</w:t>
      </w:r>
      <w:proofErr w:type="gramEnd"/>
      <w:r>
        <w:rPr>
          <w:rFonts w:hint="eastAsia"/>
          <w:kern w:val="0"/>
          <w:sz w:val="24"/>
        </w:rPr>
        <w:t>托管人由基金管理人或由单独或合计持有</w:t>
      </w:r>
      <w:r>
        <w:rPr>
          <w:rFonts w:hint="eastAsia"/>
          <w:kern w:val="0"/>
          <w:sz w:val="24"/>
        </w:rPr>
        <w:t>10%</w:t>
      </w:r>
      <w:r>
        <w:rPr>
          <w:rFonts w:hint="eastAsia"/>
          <w:kern w:val="0"/>
          <w:sz w:val="24"/>
        </w:rPr>
        <w:t>以上（含</w:t>
      </w:r>
      <w:r>
        <w:rPr>
          <w:rFonts w:hint="eastAsia"/>
          <w:kern w:val="0"/>
          <w:sz w:val="24"/>
        </w:rPr>
        <w:t>10%</w:t>
      </w:r>
      <w:r>
        <w:rPr>
          <w:rFonts w:hint="eastAsia"/>
          <w:kern w:val="0"/>
          <w:sz w:val="24"/>
        </w:rPr>
        <w:t>）基金份额的基金份额持有人提名；</w:t>
      </w:r>
    </w:p>
    <w:p w14:paraId="1AE467C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）决议：基金份额持有人大会在基金托管人职责终止后</w:t>
      </w:r>
      <w:r>
        <w:rPr>
          <w:rFonts w:hint="eastAsia"/>
          <w:kern w:val="0"/>
          <w:sz w:val="24"/>
        </w:rPr>
        <w:t>6</w:t>
      </w:r>
      <w:r>
        <w:rPr>
          <w:rFonts w:hint="eastAsia"/>
          <w:kern w:val="0"/>
          <w:sz w:val="24"/>
        </w:rPr>
        <w:t>个月内对被提名的基金托管人形成决议，该决议需经参加大会的基金份额持有人所持表决权的三分之二以上（含三分之二）表决通过，决议自表决通过之日起生效；</w:t>
      </w:r>
    </w:p>
    <w:p w14:paraId="476DDF9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）临时基金托管人：</w:t>
      </w:r>
      <w:proofErr w:type="gramStart"/>
      <w:r>
        <w:rPr>
          <w:rFonts w:hint="eastAsia"/>
          <w:kern w:val="0"/>
          <w:sz w:val="24"/>
        </w:rPr>
        <w:t>新任基金</w:t>
      </w:r>
      <w:proofErr w:type="gramEnd"/>
      <w:r>
        <w:rPr>
          <w:rFonts w:hint="eastAsia"/>
          <w:kern w:val="0"/>
          <w:sz w:val="24"/>
        </w:rPr>
        <w:t>托管人产生之前，由中国证监会指定临时基金托管人；</w:t>
      </w:r>
    </w:p>
    <w:p w14:paraId="5D2844D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）备案：基金份额持有人大会更换基金托管人的决议须报中国证监会备案；</w:t>
      </w:r>
    </w:p>
    <w:p w14:paraId="6CE64F9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）公告：基金托管人更换后，由基金管理人在更换基金托管人的基金份额持有人大会决议生效后</w:t>
      </w:r>
      <w:r>
        <w:rPr>
          <w:rFonts w:hint="eastAsia"/>
          <w:kern w:val="0"/>
          <w:sz w:val="24"/>
        </w:rPr>
        <w:t>2</w:t>
      </w:r>
      <w:r>
        <w:rPr>
          <w:rFonts w:hint="eastAsia"/>
          <w:kern w:val="0"/>
          <w:sz w:val="24"/>
        </w:rPr>
        <w:t>日内在规定媒介公告；</w:t>
      </w:r>
    </w:p>
    <w:p w14:paraId="5A88190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）交接：基金托管人职责终止的，应当妥善保管基金财产和基金托管业务资料，及时办理基金财产和基金托管业务的移交手续，</w:t>
      </w:r>
      <w:proofErr w:type="gramStart"/>
      <w:r>
        <w:rPr>
          <w:rFonts w:hint="eastAsia"/>
          <w:kern w:val="0"/>
          <w:sz w:val="24"/>
        </w:rPr>
        <w:t>新任基金</w:t>
      </w:r>
      <w:proofErr w:type="gramEnd"/>
      <w:r>
        <w:rPr>
          <w:rFonts w:hint="eastAsia"/>
          <w:kern w:val="0"/>
          <w:sz w:val="24"/>
        </w:rPr>
        <w:t>托管人或者临时基金托管人应当及时接收。</w:t>
      </w:r>
      <w:proofErr w:type="gramStart"/>
      <w:r>
        <w:rPr>
          <w:rFonts w:hint="eastAsia"/>
          <w:kern w:val="0"/>
          <w:sz w:val="24"/>
        </w:rPr>
        <w:t>新任基金</w:t>
      </w:r>
      <w:proofErr w:type="gramEnd"/>
      <w:r>
        <w:rPr>
          <w:rFonts w:hint="eastAsia"/>
          <w:kern w:val="0"/>
          <w:sz w:val="24"/>
        </w:rPr>
        <w:t>托管人或临时基金托管人应与基金管理人核对基金资产总值和净值；</w:t>
      </w:r>
    </w:p>
    <w:p w14:paraId="32347B1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审计：基金托管人职责终止的，应当按照法律法规规定聘请符合《中华人民共和国证券法》规定的会计师事务所对基金财产进行审计，并将审计结果予以公告，同时报中国证监会备案，审计费用在基金财产中列支。</w:t>
      </w:r>
    </w:p>
    <w:p w14:paraId="22638DA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（三）基金管理人与基金托管人同时更换的条件和程序</w:t>
      </w:r>
    </w:p>
    <w:p w14:paraId="603F2201" w14:textId="77777777" w:rsidR="001A6E24" w:rsidRDefault="000739D5">
      <w:pPr>
        <w:spacing w:line="360" w:lineRule="auto"/>
        <w:ind w:firstLineChars="200" w:firstLine="480"/>
        <w:rPr>
          <w:sz w:val="24"/>
        </w:rPr>
      </w:pPr>
      <w:r>
        <w:rPr>
          <w:sz w:val="24"/>
        </w:rPr>
        <w:t>1</w:t>
      </w:r>
      <w:r>
        <w:rPr>
          <w:rFonts w:hint="eastAsia"/>
          <w:bCs/>
          <w:sz w:val="24"/>
        </w:rPr>
        <w:t>.</w:t>
      </w:r>
      <w:r>
        <w:rPr>
          <w:rFonts w:hint="eastAsia"/>
          <w:sz w:val="24"/>
        </w:rPr>
        <w:t>提名：如果基金管理人和基金托管人同时更换，由单独或合计持有基金总份额</w:t>
      </w:r>
      <w:r>
        <w:rPr>
          <w:sz w:val="24"/>
        </w:rPr>
        <w:t>10%</w:t>
      </w:r>
      <w:r>
        <w:rPr>
          <w:rFonts w:hint="eastAsia"/>
          <w:sz w:val="24"/>
        </w:rPr>
        <w:t>以上（含</w:t>
      </w:r>
      <w:r>
        <w:rPr>
          <w:sz w:val="24"/>
        </w:rPr>
        <w:t>10%</w:t>
      </w:r>
      <w:r>
        <w:rPr>
          <w:rFonts w:hint="eastAsia"/>
          <w:sz w:val="24"/>
        </w:rPr>
        <w:t>）的基金份额持有人提名新的基金管理人和基金托管人；</w:t>
      </w:r>
    </w:p>
    <w:p w14:paraId="71085960" w14:textId="77777777" w:rsidR="001A6E24" w:rsidRDefault="000739D5">
      <w:pPr>
        <w:spacing w:line="360" w:lineRule="auto"/>
        <w:ind w:firstLineChars="200" w:firstLine="480"/>
        <w:rPr>
          <w:sz w:val="24"/>
        </w:rPr>
      </w:pPr>
      <w:r>
        <w:rPr>
          <w:sz w:val="24"/>
        </w:rPr>
        <w:lastRenderedPageBreak/>
        <w:t>2</w:t>
      </w:r>
      <w:r>
        <w:rPr>
          <w:bCs/>
          <w:sz w:val="24"/>
        </w:rPr>
        <w:t>.</w:t>
      </w:r>
      <w:r>
        <w:rPr>
          <w:rFonts w:hint="eastAsia"/>
          <w:sz w:val="24"/>
        </w:rPr>
        <w:t>基金管理人和基金托管人的更换分别按上述程序进行；</w:t>
      </w:r>
    </w:p>
    <w:p w14:paraId="6859AFFC" w14:textId="77777777" w:rsidR="001A6E24" w:rsidRDefault="000739D5">
      <w:pPr>
        <w:spacing w:line="360" w:lineRule="auto"/>
        <w:ind w:firstLineChars="200" w:firstLine="480"/>
        <w:rPr>
          <w:sz w:val="24"/>
        </w:rPr>
      </w:pPr>
      <w:r>
        <w:rPr>
          <w:sz w:val="24"/>
        </w:rPr>
        <w:t>3</w:t>
      </w:r>
      <w:r>
        <w:rPr>
          <w:bCs/>
          <w:sz w:val="24"/>
        </w:rPr>
        <w:t>.</w:t>
      </w:r>
      <w:r>
        <w:rPr>
          <w:rFonts w:hint="eastAsia"/>
          <w:sz w:val="24"/>
        </w:rPr>
        <w:t>公告：</w:t>
      </w:r>
      <w:proofErr w:type="gramStart"/>
      <w:r>
        <w:rPr>
          <w:rFonts w:hint="eastAsia"/>
          <w:sz w:val="24"/>
        </w:rPr>
        <w:t>新任基金</w:t>
      </w:r>
      <w:proofErr w:type="gramEnd"/>
      <w:r>
        <w:rPr>
          <w:rFonts w:hint="eastAsia"/>
          <w:sz w:val="24"/>
        </w:rPr>
        <w:t>管理人和</w:t>
      </w:r>
      <w:proofErr w:type="gramStart"/>
      <w:r>
        <w:rPr>
          <w:rFonts w:hint="eastAsia"/>
          <w:sz w:val="24"/>
        </w:rPr>
        <w:t>新任基金</w:t>
      </w:r>
      <w:proofErr w:type="gramEnd"/>
      <w:r>
        <w:rPr>
          <w:rFonts w:hint="eastAsia"/>
          <w:sz w:val="24"/>
        </w:rPr>
        <w:t>托管人应在更换基金管理人和基金托管人的基金份额持有人大会决议生效后</w:t>
      </w:r>
      <w:r>
        <w:rPr>
          <w:rFonts w:hint="eastAsia"/>
          <w:bCs/>
          <w:sz w:val="24"/>
        </w:rPr>
        <w:t>2</w:t>
      </w:r>
      <w:r>
        <w:rPr>
          <w:rFonts w:hint="eastAsia"/>
          <w:bCs/>
          <w:sz w:val="24"/>
        </w:rPr>
        <w:t>日内</w:t>
      </w:r>
      <w:r>
        <w:rPr>
          <w:rFonts w:hint="eastAsia"/>
          <w:sz w:val="24"/>
        </w:rPr>
        <w:t>在规定媒介上联合公告。</w:t>
      </w:r>
    </w:p>
    <w:p w14:paraId="53C136F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w:t>
      </w:r>
      <w:proofErr w:type="gramStart"/>
      <w:r>
        <w:rPr>
          <w:rFonts w:hint="eastAsia"/>
          <w:kern w:val="0"/>
          <w:sz w:val="24"/>
        </w:rPr>
        <w:t>新任基金</w:t>
      </w:r>
      <w:proofErr w:type="gramEnd"/>
      <w:r>
        <w:rPr>
          <w:rFonts w:hint="eastAsia"/>
          <w:kern w:val="0"/>
          <w:sz w:val="24"/>
        </w:rPr>
        <w:t>管理人或临时基金管理人接收基金管理业务，或</w:t>
      </w:r>
      <w:proofErr w:type="gramStart"/>
      <w:r>
        <w:rPr>
          <w:rFonts w:hint="eastAsia"/>
          <w:kern w:val="0"/>
          <w:sz w:val="24"/>
        </w:rPr>
        <w:t>新任基金</w:t>
      </w:r>
      <w:proofErr w:type="gramEnd"/>
      <w:r>
        <w:rPr>
          <w:rFonts w:hint="eastAsia"/>
          <w:kern w:val="0"/>
          <w:sz w:val="24"/>
        </w:rPr>
        <w:t>托管人或临时基金托管人接收基金财产和基金托管业务前，</w:t>
      </w:r>
      <w:proofErr w:type="gramStart"/>
      <w:r>
        <w:rPr>
          <w:rFonts w:hint="eastAsia"/>
          <w:kern w:val="0"/>
          <w:sz w:val="24"/>
        </w:rPr>
        <w:t>原基金</w:t>
      </w:r>
      <w:proofErr w:type="gramEnd"/>
      <w:r>
        <w:rPr>
          <w:rFonts w:hint="eastAsia"/>
          <w:kern w:val="0"/>
          <w:sz w:val="24"/>
        </w:rPr>
        <w:t>管理人或</w:t>
      </w:r>
      <w:proofErr w:type="gramStart"/>
      <w:r>
        <w:rPr>
          <w:rFonts w:hint="eastAsia"/>
          <w:kern w:val="0"/>
          <w:sz w:val="24"/>
        </w:rPr>
        <w:t>原基金</w:t>
      </w:r>
      <w:proofErr w:type="gramEnd"/>
      <w:r>
        <w:rPr>
          <w:rFonts w:hint="eastAsia"/>
          <w:kern w:val="0"/>
          <w:sz w:val="24"/>
        </w:rPr>
        <w:t>托管人应依据法律法规和《基金合同》的规定继续履行相关职责，采取审慎措施确保基金财产的安全，保证不做出对基金份额持有人的利益造成损害的行为，并有义务协助尽快完成基金财产交接。</w:t>
      </w:r>
      <w:proofErr w:type="gramStart"/>
      <w:r>
        <w:rPr>
          <w:rFonts w:hint="eastAsia"/>
          <w:kern w:val="0"/>
          <w:sz w:val="24"/>
        </w:rPr>
        <w:t>原基金</w:t>
      </w:r>
      <w:proofErr w:type="gramEnd"/>
      <w:r>
        <w:rPr>
          <w:rFonts w:hint="eastAsia"/>
          <w:kern w:val="0"/>
          <w:sz w:val="24"/>
        </w:rPr>
        <w:t>管理人或</w:t>
      </w:r>
      <w:proofErr w:type="gramStart"/>
      <w:r>
        <w:rPr>
          <w:rFonts w:hint="eastAsia"/>
          <w:kern w:val="0"/>
          <w:sz w:val="24"/>
        </w:rPr>
        <w:t>原基金</w:t>
      </w:r>
      <w:proofErr w:type="gramEnd"/>
      <w:r>
        <w:rPr>
          <w:rFonts w:hint="eastAsia"/>
          <w:kern w:val="0"/>
          <w:sz w:val="24"/>
        </w:rPr>
        <w:t>托管人在继续履行相关职责期间，仍有权按照基金合同的规定收取基金管理费或基金托管费。</w:t>
      </w:r>
    </w:p>
    <w:p w14:paraId="36670C42" w14:textId="77777777" w:rsidR="001A6E24" w:rsidRDefault="000739D5">
      <w:pPr>
        <w:spacing w:line="360" w:lineRule="auto"/>
        <w:ind w:firstLineChars="200" w:firstLine="480"/>
        <w:rPr>
          <w:bCs/>
          <w:sz w:val="24"/>
        </w:rPr>
      </w:pPr>
      <w:r>
        <w:rPr>
          <w:rFonts w:hint="eastAsia"/>
          <w:kern w:val="0"/>
          <w:sz w:val="24"/>
        </w:rPr>
        <w:t>（五）</w:t>
      </w:r>
      <w:r>
        <w:rPr>
          <w:rFonts w:hint="eastAsia"/>
          <w:bCs/>
          <w:sz w:val="24"/>
        </w:rPr>
        <w:t>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法律法规修改导致相关内容被取消或变更的，基金管理人与基金托管人协商一致并履行适当程序后，可直接对相应内容进行修改和调整，无需召开基金份额持有人大会审议。</w:t>
      </w:r>
    </w:p>
    <w:p w14:paraId="2A4E07FC" w14:textId="77777777" w:rsidR="001A6E24" w:rsidRDefault="001A6E24">
      <w:pPr>
        <w:widowControl/>
        <w:adjustRightInd w:val="0"/>
        <w:snapToGrid w:val="0"/>
        <w:spacing w:line="360" w:lineRule="auto"/>
        <w:ind w:firstLineChars="200" w:firstLine="480"/>
        <w:rPr>
          <w:kern w:val="0"/>
          <w:sz w:val="24"/>
        </w:rPr>
      </w:pPr>
      <w:bookmarkStart w:id="97" w:name="_Toc124325899"/>
    </w:p>
    <w:p w14:paraId="0E951761"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十五、禁止行为</w:t>
      </w:r>
      <w:bookmarkEnd w:id="97"/>
    </w:p>
    <w:p w14:paraId="08AEACFF"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本托管协议当事人禁止从事的行为，包括但不限于：</w:t>
      </w:r>
    </w:p>
    <w:p w14:paraId="302F746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（一）基金管理人、基金托管人将其固有财产或者他人财产混同于基金财产从事证券投资。</w:t>
      </w:r>
    </w:p>
    <w:p w14:paraId="27923F82"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（二）基金管理人不公平地对待其管理的不同基金财产，基金托管人不公平地对待其托管的不同基金财产。</w:t>
      </w:r>
    </w:p>
    <w:p w14:paraId="309B23C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（三）基金管理人、基金托管人利用基金财产为基金份额持有人以外的第三人牟取利益。</w:t>
      </w:r>
    </w:p>
    <w:p w14:paraId="4AB7B8E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（四）基金管理人、基金托管人向基金份额持有人违规承诺收益或者承担损失。</w:t>
      </w:r>
    </w:p>
    <w:p w14:paraId="053D06D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（五）基金管理人、基金托管人对他人泄漏基金运作和管理过程中任何尚未按法律法规规定的方式公开披露的信息。</w:t>
      </w:r>
    </w:p>
    <w:p w14:paraId="113CB4FC" w14:textId="77777777" w:rsidR="001A6E24" w:rsidRDefault="000739D5">
      <w:pPr>
        <w:widowControl/>
        <w:adjustRightInd w:val="0"/>
        <w:snapToGrid w:val="0"/>
        <w:spacing w:line="360" w:lineRule="auto"/>
        <w:ind w:firstLineChars="200" w:firstLine="480"/>
      </w:pPr>
      <w:r>
        <w:rPr>
          <w:rFonts w:hint="eastAsia"/>
          <w:kern w:val="0"/>
          <w:sz w:val="24"/>
        </w:rPr>
        <w:t>（六）基金管理人在没有充足资金的情况下向基金托管人发出投资指令和赎回、分红资金的划拨指令，或违规向基金托管人发出指令。</w:t>
      </w:r>
    </w:p>
    <w:p w14:paraId="60F7EE9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（七）基金管理人、基金托管人在行政上、财务上不独立，其高级管理人员和其他从业人员相互兼职。</w:t>
      </w:r>
    </w:p>
    <w:p w14:paraId="2288851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（八）基金托管人私自动用或处分基金财产，根据基金管理人的合法指令、《基金合同》或托管协议的规定进行处分的除外。</w:t>
      </w:r>
    </w:p>
    <w:p w14:paraId="6A66E80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（九）基金财产用于下列投资或者活动：</w:t>
      </w:r>
      <w:r>
        <w:rPr>
          <w:kern w:val="0"/>
          <w:sz w:val="24"/>
        </w:rPr>
        <w:t>1.</w:t>
      </w:r>
      <w:r>
        <w:rPr>
          <w:rFonts w:hint="eastAsia"/>
          <w:kern w:val="0"/>
          <w:sz w:val="24"/>
        </w:rPr>
        <w:t>承销证券；</w:t>
      </w:r>
      <w:r>
        <w:rPr>
          <w:kern w:val="0"/>
          <w:sz w:val="24"/>
        </w:rPr>
        <w:t>2.</w:t>
      </w:r>
      <w:r>
        <w:rPr>
          <w:rFonts w:hint="eastAsia"/>
          <w:kern w:val="0"/>
          <w:sz w:val="24"/>
        </w:rPr>
        <w:t>违反规定向他人贷款或者提供担保；</w:t>
      </w:r>
      <w:r>
        <w:rPr>
          <w:kern w:val="0"/>
          <w:sz w:val="24"/>
        </w:rPr>
        <w:t>3.</w:t>
      </w:r>
      <w:r>
        <w:rPr>
          <w:rFonts w:hint="eastAsia"/>
          <w:kern w:val="0"/>
          <w:sz w:val="24"/>
        </w:rPr>
        <w:t>从事承担无限责任的投资；</w:t>
      </w:r>
      <w:r>
        <w:rPr>
          <w:rFonts w:hint="eastAsia"/>
          <w:kern w:val="0"/>
          <w:sz w:val="24"/>
        </w:rPr>
        <w:t>4</w:t>
      </w:r>
      <w:r>
        <w:rPr>
          <w:kern w:val="0"/>
          <w:sz w:val="24"/>
        </w:rPr>
        <w:t>.</w:t>
      </w:r>
      <w:r>
        <w:rPr>
          <w:rFonts w:hint="eastAsia"/>
          <w:kern w:val="0"/>
          <w:sz w:val="24"/>
        </w:rPr>
        <w:t>买卖其他基金份额，但是中国证监会另有规定的除外；</w:t>
      </w:r>
      <w:r>
        <w:rPr>
          <w:rFonts w:hint="eastAsia"/>
          <w:kern w:val="0"/>
          <w:sz w:val="24"/>
        </w:rPr>
        <w:t>5</w:t>
      </w:r>
      <w:r>
        <w:rPr>
          <w:kern w:val="0"/>
          <w:sz w:val="24"/>
        </w:rPr>
        <w:t>.</w:t>
      </w:r>
      <w:r>
        <w:rPr>
          <w:rFonts w:hint="eastAsia"/>
          <w:kern w:val="0"/>
          <w:sz w:val="24"/>
        </w:rPr>
        <w:t>向其基金管理人、基金托管人出资；</w:t>
      </w:r>
      <w:r>
        <w:rPr>
          <w:kern w:val="0"/>
          <w:sz w:val="24"/>
        </w:rPr>
        <w:t>6.</w:t>
      </w:r>
      <w:r>
        <w:rPr>
          <w:rFonts w:hint="eastAsia"/>
          <w:kern w:val="0"/>
          <w:sz w:val="24"/>
        </w:rPr>
        <w:t>从事内幕交易、操纵证券交易价格及其他不正当的证券交易活动；</w:t>
      </w:r>
      <w:r>
        <w:rPr>
          <w:rFonts w:hint="eastAsia"/>
          <w:kern w:val="0"/>
          <w:sz w:val="24"/>
        </w:rPr>
        <w:t>7</w:t>
      </w:r>
      <w:r>
        <w:rPr>
          <w:kern w:val="0"/>
          <w:sz w:val="24"/>
        </w:rPr>
        <w:t>.</w:t>
      </w:r>
      <w:r>
        <w:rPr>
          <w:rFonts w:hint="eastAsia"/>
          <w:kern w:val="0"/>
          <w:sz w:val="24"/>
        </w:rPr>
        <w:t>法律、行政法规和中国证监会规定禁止的其他活动。法律、行政法规或监管部门取消上述限制，如适用于本基金，</w:t>
      </w:r>
      <w:r>
        <w:rPr>
          <w:rFonts w:hint="eastAsia"/>
          <w:bCs/>
          <w:kern w:val="0"/>
          <w:sz w:val="24"/>
        </w:rPr>
        <w:t>基金管理人在履行适当程序后，</w:t>
      </w:r>
      <w:r>
        <w:rPr>
          <w:rFonts w:hint="eastAsia"/>
          <w:kern w:val="0"/>
          <w:sz w:val="24"/>
        </w:rPr>
        <w:t>则本基金投资不再受相关限制。</w:t>
      </w:r>
    </w:p>
    <w:p w14:paraId="08E0F7A5" w14:textId="77777777" w:rsidR="001A6E24" w:rsidRDefault="000739D5">
      <w:pPr>
        <w:widowControl/>
        <w:adjustRightInd w:val="0"/>
        <w:snapToGrid w:val="0"/>
        <w:spacing w:line="360" w:lineRule="auto"/>
        <w:ind w:firstLineChars="200" w:firstLine="480"/>
        <w:rPr>
          <w:sz w:val="24"/>
        </w:rPr>
      </w:pPr>
      <w:r>
        <w:rPr>
          <w:rFonts w:hint="eastAsia"/>
          <w:kern w:val="0"/>
          <w:sz w:val="24"/>
        </w:rPr>
        <w:t>（十）法律法规和《基金合同》禁止的其他行为，以及依照法律、行政法规有关规定，由中国证监会规定禁止基金管理人、基金托管人从事的其他行为。</w:t>
      </w:r>
      <w:bookmarkStart w:id="98" w:name="_Toc124325900"/>
    </w:p>
    <w:p w14:paraId="39891BE8"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十六、托管协议的变更、终止与基金财产的清算</w:t>
      </w:r>
      <w:bookmarkEnd w:id="98"/>
    </w:p>
    <w:p w14:paraId="5C00582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（一）托管协议的变更程序</w:t>
      </w:r>
    </w:p>
    <w:p w14:paraId="1442342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本托管协议双方当事人经协商一致，可以对协议进行修改。修改后的新协议，其内容不得与《基金合同》的规定有任何冲突。基金托管协议的变更报中国证监会备案。</w:t>
      </w:r>
    </w:p>
    <w:p w14:paraId="4AD74BD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（二）托管协议终止的情形</w:t>
      </w:r>
    </w:p>
    <w:p w14:paraId="4084DC6E"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《基金合同》终止；</w:t>
      </w:r>
    </w:p>
    <w:p w14:paraId="44094EB0"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基金托管人解散、依法被撤销、破产或由其他基金托管人接管基金资产；</w:t>
      </w:r>
    </w:p>
    <w:p w14:paraId="341C90E7"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基金管理人解散、依法被撤销、破产或由其他基金管理人接管基金管理权；</w:t>
      </w:r>
    </w:p>
    <w:p w14:paraId="46EFB506"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发生法律法规或《基金合同》规定的终止事项。</w:t>
      </w:r>
    </w:p>
    <w:p w14:paraId="75008F7A"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（三）基金财产的清算</w:t>
      </w:r>
    </w:p>
    <w:p w14:paraId="318D358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基金财产清算小组：自出现《基金合同》终止事由之日起</w:t>
      </w:r>
      <w:r>
        <w:rPr>
          <w:rFonts w:hint="eastAsia"/>
          <w:kern w:val="0"/>
          <w:sz w:val="24"/>
        </w:rPr>
        <w:t>30</w:t>
      </w:r>
      <w:r>
        <w:rPr>
          <w:rFonts w:hint="eastAsia"/>
          <w:kern w:val="0"/>
          <w:sz w:val="24"/>
        </w:rPr>
        <w:t>个工作日内成立清算小组，基金管理人组织基金财产清算小组并在中国证监会的监督下进行基金清算。</w:t>
      </w:r>
    </w:p>
    <w:p w14:paraId="114B5FC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3A5FFB5"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基金财产清算小组职责：基金财产清算小组负责基金财产的保管、清理、估价、变现和分配。基金财产清算小组可以依法进行必要的民事活动。</w:t>
      </w:r>
    </w:p>
    <w:p w14:paraId="624F6EE3"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基金财产清算程序：</w:t>
      </w:r>
    </w:p>
    <w:p w14:paraId="1C5DD3C8" w14:textId="77777777" w:rsidR="001A6E24" w:rsidRDefault="000739D5">
      <w:pPr>
        <w:widowControl/>
        <w:adjustRightInd w:val="0"/>
        <w:snapToGrid w:val="0"/>
        <w:spacing w:line="360" w:lineRule="auto"/>
        <w:ind w:firstLineChars="200" w:firstLine="480"/>
        <w:rPr>
          <w:kern w:val="0"/>
          <w:sz w:val="24"/>
        </w:rPr>
      </w:pPr>
      <w:r>
        <w:rPr>
          <w:kern w:val="0"/>
          <w:sz w:val="24"/>
        </w:rPr>
        <w:t>(1)</w:t>
      </w:r>
      <w:r>
        <w:rPr>
          <w:rFonts w:hint="eastAsia"/>
          <w:kern w:val="0"/>
          <w:sz w:val="24"/>
        </w:rPr>
        <w:t>《基金合同》终止情形出现时，由基金财产清算小组统一接管基金；</w:t>
      </w:r>
    </w:p>
    <w:p w14:paraId="569266E9" w14:textId="77777777" w:rsidR="001A6E24" w:rsidRDefault="000739D5">
      <w:pPr>
        <w:widowControl/>
        <w:adjustRightInd w:val="0"/>
        <w:snapToGrid w:val="0"/>
        <w:spacing w:line="360" w:lineRule="auto"/>
        <w:ind w:firstLineChars="200" w:firstLine="480"/>
        <w:rPr>
          <w:kern w:val="0"/>
          <w:sz w:val="24"/>
        </w:rPr>
      </w:pPr>
      <w:r>
        <w:rPr>
          <w:kern w:val="0"/>
          <w:sz w:val="24"/>
        </w:rPr>
        <w:t>(2)</w:t>
      </w:r>
      <w:r>
        <w:rPr>
          <w:rFonts w:hint="eastAsia"/>
          <w:kern w:val="0"/>
          <w:sz w:val="24"/>
        </w:rPr>
        <w:t>对基金财产和债权债务进行清理和确认；</w:t>
      </w:r>
    </w:p>
    <w:p w14:paraId="4982EEE2" w14:textId="77777777" w:rsidR="001A6E24" w:rsidRDefault="000739D5">
      <w:pPr>
        <w:widowControl/>
        <w:adjustRightInd w:val="0"/>
        <w:snapToGrid w:val="0"/>
        <w:spacing w:line="360" w:lineRule="auto"/>
        <w:ind w:firstLineChars="200" w:firstLine="480"/>
        <w:rPr>
          <w:kern w:val="0"/>
          <w:sz w:val="24"/>
        </w:rPr>
      </w:pPr>
      <w:r>
        <w:rPr>
          <w:kern w:val="0"/>
          <w:sz w:val="24"/>
        </w:rPr>
        <w:t>(3)</w:t>
      </w:r>
      <w:r>
        <w:rPr>
          <w:rFonts w:hint="eastAsia"/>
          <w:kern w:val="0"/>
          <w:sz w:val="24"/>
        </w:rPr>
        <w:t>对基金财产进行估值和变现；</w:t>
      </w:r>
    </w:p>
    <w:p w14:paraId="3F131FB4" w14:textId="77777777" w:rsidR="001A6E24" w:rsidRDefault="000739D5">
      <w:pPr>
        <w:widowControl/>
        <w:adjustRightInd w:val="0"/>
        <w:snapToGrid w:val="0"/>
        <w:spacing w:line="360" w:lineRule="auto"/>
        <w:ind w:firstLineChars="200" w:firstLine="480"/>
        <w:rPr>
          <w:kern w:val="0"/>
          <w:sz w:val="24"/>
        </w:rPr>
      </w:pPr>
      <w:r>
        <w:rPr>
          <w:kern w:val="0"/>
          <w:sz w:val="24"/>
        </w:rPr>
        <w:t>(4)</w:t>
      </w:r>
      <w:r>
        <w:rPr>
          <w:rFonts w:hint="eastAsia"/>
          <w:kern w:val="0"/>
          <w:sz w:val="24"/>
        </w:rPr>
        <w:t>制作清算报告；</w:t>
      </w:r>
    </w:p>
    <w:p w14:paraId="5BB420CB" w14:textId="77777777" w:rsidR="001A6E24" w:rsidRDefault="000739D5">
      <w:pPr>
        <w:widowControl/>
        <w:adjustRightInd w:val="0"/>
        <w:snapToGrid w:val="0"/>
        <w:spacing w:line="360" w:lineRule="auto"/>
        <w:ind w:firstLineChars="200" w:firstLine="480"/>
        <w:rPr>
          <w:kern w:val="0"/>
          <w:sz w:val="24"/>
        </w:rPr>
      </w:pPr>
      <w:r>
        <w:rPr>
          <w:kern w:val="0"/>
          <w:sz w:val="24"/>
        </w:rPr>
        <w:t>(5)</w:t>
      </w:r>
      <w:r>
        <w:rPr>
          <w:kern w:val="0"/>
          <w:sz w:val="24"/>
        </w:rPr>
        <w:t>聘请会计师事务所对清算报告进行</w:t>
      </w:r>
      <w:r>
        <w:rPr>
          <w:rFonts w:hint="eastAsia"/>
          <w:kern w:val="0"/>
          <w:sz w:val="24"/>
        </w:rPr>
        <w:t>外部</w:t>
      </w:r>
      <w:r>
        <w:rPr>
          <w:kern w:val="0"/>
          <w:sz w:val="24"/>
        </w:rPr>
        <w:t>审计</w:t>
      </w:r>
      <w:r>
        <w:rPr>
          <w:rFonts w:hint="eastAsia"/>
          <w:kern w:val="0"/>
          <w:sz w:val="24"/>
        </w:rPr>
        <w:t>，</w:t>
      </w:r>
      <w:r>
        <w:rPr>
          <w:kern w:val="0"/>
          <w:sz w:val="24"/>
        </w:rPr>
        <w:t>聘请律师事务所</w:t>
      </w:r>
      <w:r>
        <w:rPr>
          <w:rFonts w:hint="eastAsia"/>
          <w:kern w:val="0"/>
          <w:sz w:val="24"/>
        </w:rPr>
        <w:t>对清算报告</w:t>
      </w:r>
      <w:r>
        <w:rPr>
          <w:kern w:val="0"/>
          <w:sz w:val="24"/>
        </w:rPr>
        <w:t>出具法律意见书</w:t>
      </w:r>
      <w:r>
        <w:rPr>
          <w:rFonts w:hint="eastAsia"/>
          <w:kern w:val="0"/>
          <w:sz w:val="24"/>
        </w:rPr>
        <w:t>；</w:t>
      </w:r>
    </w:p>
    <w:p w14:paraId="285AF4DF" w14:textId="77777777" w:rsidR="001A6E24" w:rsidRDefault="000739D5">
      <w:pPr>
        <w:widowControl/>
        <w:adjustRightInd w:val="0"/>
        <w:snapToGrid w:val="0"/>
        <w:spacing w:line="360" w:lineRule="auto"/>
        <w:ind w:firstLineChars="200" w:firstLine="480"/>
        <w:rPr>
          <w:kern w:val="0"/>
          <w:sz w:val="24"/>
        </w:rPr>
      </w:pPr>
      <w:r>
        <w:rPr>
          <w:kern w:val="0"/>
          <w:sz w:val="24"/>
        </w:rPr>
        <w:t>(6)</w:t>
      </w:r>
      <w:r>
        <w:rPr>
          <w:rFonts w:hint="eastAsia"/>
          <w:kern w:val="0"/>
          <w:sz w:val="24"/>
        </w:rPr>
        <w:t>将清算报告报中国证监会备案并公告；</w:t>
      </w:r>
    </w:p>
    <w:p w14:paraId="4470E2C8" w14:textId="77777777" w:rsidR="001A6E24" w:rsidRDefault="000739D5">
      <w:pPr>
        <w:widowControl/>
        <w:adjustRightInd w:val="0"/>
        <w:snapToGrid w:val="0"/>
        <w:spacing w:line="360" w:lineRule="auto"/>
        <w:ind w:firstLineChars="200" w:firstLine="480"/>
        <w:rPr>
          <w:kern w:val="0"/>
          <w:sz w:val="24"/>
        </w:rPr>
      </w:pPr>
      <w:r>
        <w:rPr>
          <w:kern w:val="0"/>
          <w:sz w:val="24"/>
        </w:rPr>
        <w:t>(7)</w:t>
      </w:r>
      <w:r>
        <w:rPr>
          <w:rFonts w:hint="eastAsia"/>
          <w:kern w:val="0"/>
          <w:sz w:val="24"/>
        </w:rPr>
        <w:t>对基金剩余财产进行分配。</w:t>
      </w:r>
    </w:p>
    <w:p w14:paraId="39B8EF58" w14:textId="77777777" w:rsidR="001A6E24" w:rsidRDefault="000739D5">
      <w:pPr>
        <w:widowControl/>
        <w:adjustRightInd w:val="0"/>
        <w:snapToGrid w:val="0"/>
        <w:spacing w:line="360" w:lineRule="auto"/>
        <w:ind w:firstLineChars="200" w:firstLine="480"/>
        <w:rPr>
          <w:kern w:val="0"/>
          <w:sz w:val="24"/>
        </w:rPr>
      </w:pPr>
      <w:r>
        <w:rPr>
          <w:kern w:val="0"/>
          <w:sz w:val="24"/>
        </w:rPr>
        <w:lastRenderedPageBreak/>
        <w:t>5.</w:t>
      </w:r>
      <w:r>
        <w:rPr>
          <w:rFonts w:hint="eastAsia"/>
          <w:kern w:val="0"/>
          <w:sz w:val="24"/>
        </w:rPr>
        <w:t>基金财产清算的期限为</w:t>
      </w:r>
      <w:r>
        <w:rPr>
          <w:rFonts w:hint="eastAsia"/>
          <w:kern w:val="0"/>
          <w:sz w:val="24"/>
        </w:rPr>
        <w:t>6</w:t>
      </w:r>
      <w:r>
        <w:rPr>
          <w:rFonts w:hint="eastAsia"/>
          <w:kern w:val="0"/>
          <w:sz w:val="24"/>
        </w:rPr>
        <w:t>个月，但因本基金所持证券的流动性受到限制而不能及时变现的，清算期限相应顺延。</w:t>
      </w:r>
    </w:p>
    <w:p w14:paraId="06C2D0E6" w14:textId="77777777" w:rsidR="001A6E24" w:rsidRDefault="000739D5">
      <w:pPr>
        <w:widowControl/>
        <w:adjustRightInd w:val="0"/>
        <w:snapToGrid w:val="0"/>
        <w:spacing w:line="360" w:lineRule="auto"/>
        <w:ind w:firstLineChars="200" w:firstLine="480"/>
        <w:rPr>
          <w:kern w:val="0"/>
          <w:sz w:val="24"/>
        </w:rPr>
      </w:pPr>
      <w:r>
        <w:rPr>
          <w:kern w:val="0"/>
          <w:sz w:val="24"/>
        </w:rPr>
        <w:t>6.</w:t>
      </w:r>
      <w:r>
        <w:rPr>
          <w:rFonts w:hint="eastAsia"/>
          <w:kern w:val="0"/>
          <w:sz w:val="24"/>
        </w:rPr>
        <w:t>清算费用</w:t>
      </w:r>
    </w:p>
    <w:p w14:paraId="7AD4B76E"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清算费用是指基金财产清算小组在进行基金清算过程中发生的所有合理费用，清算费用由基金财产清算小组优先从基金剩余财产中支付。</w:t>
      </w:r>
    </w:p>
    <w:p w14:paraId="4D8DF9C9" w14:textId="77777777" w:rsidR="001A6E24" w:rsidRDefault="000739D5">
      <w:pPr>
        <w:widowControl/>
        <w:adjustRightInd w:val="0"/>
        <w:snapToGrid w:val="0"/>
        <w:spacing w:line="360" w:lineRule="auto"/>
        <w:ind w:firstLineChars="200" w:firstLine="480"/>
        <w:rPr>
          <w:kern w:val="0"/>
          <w:sz w:val="24"/>
        </w:rPr>
      </w:pPr>
      <w:r>
        <w:rPr>
          <w:kern w:val="0"/>
          <w:sz w:val="24"/>
        </w:rPr>
        <w:t>7.</w:t>
      </w:r>
      <w:r>
        <w:rPr>
          <w:rFonts w:hint="eastAsia"/>
          <w:kern w:val="0"/>
          <w:sz w:val="24"/>
        </w:rPr>
        <w:t>基金财产清算剩余资产的分配</w:t>
      </w:r>
    </w:p>
    <w:p w14:paraId="5AB4738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依据基金财产清算的分配方案，将基金财产清算后的全部剩余资产扣除基金财产清算费用、交纳所欠税款并清偿基金债务后，按基金份额持有人持有的各类基金份额比例进行分配。</w:t>
      </w:r>
    </w:p>
    <w:p w14:paraId="57C1D8C4" w14:textId="77777777" w:rsidR="001A6E24" w:rsidRDefault="000739D5">
      <w:pPr>
        <w:widowControl/>
        <w:adjustRightInd w:val="0"/>
        <w:snapToGrid w:val="0"/>
        <w:spacing w:line="360" w:lineRule="auto"/>
        <w:ind w:firstLineChars="200" w:firstLine="480"/>
        <w:rPr>
          <w:kern w:val="0"/>
          <w:sz w:val="24"/>
        </w:rPr>
      </w:pPr>
      <w:r>
        <w:rPr>
          <w:kern w:val="0"/>
          <w:sz w:val="24"/>
        </w:rPr>
        <w:t>8.</w:t>
      </w:r>
      <w:r>
        <w:rPr>
          <w:rFonts w:hint="eastAsia"/>
          <w:kern w:val="0"/>
          <w:sz w:val="24"/>
        </w:rPr>
        <w:t>基金财产清算的公告</w:t>
      </w:r>
    </w:p>
    <w:p w14:paraId="42A5AA4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清算过程中的有关重大事项须及时公告；基金财产清算报告</w:t>
      </w:r>
      <w:proofErr w:type="gramStart"/>
      <w:r>
        <w:rPr>
          <w:rFonts w:hint="eastAsia"/>
          <w:kern w:val="0"/>
          <w:sz w:val="24"/>
        </w:rPr>
        <w:t>经符合</w:t>
      </w:r>
      <w:proofErr w:type="gramEnd"/>
      <w:r>
        <w:rPr>
          <w:rFonts w:hint="eastAsia"/>
          <w:kern w:val="0"/>
          <w:sz w:val="24"/>
        </w:rPr>
        <w:t>《中华人民共和国证券法》规定的会计师事务所审计并由律师事务所出具法律意见书后报中国证监会备案并公告。</w:t>
      </w:r>
      <w:r>
        <w:rPr>
          <w:kern w:val="0"/>
          <w:sz w:val="24"/>
        </w:rPr>
        <w:t>基金财产清算公告于基金财产清算报告报中国证监会备案后</w:t>
      </w:r>
      <w:r>
        <w:rPr>
          <w:rFonts w:hint="eastAsia"/>
          <w:kern w:val="0"/>
          <w:sz w:val="24"/>
        </w:rPr>
        <w:t>5</w:t>
      </w:r>
      <w:r>
        <w:rPr>
          <w:kern w:val="0"/>
          <w:sz w:val="24"/>
        </w:rPr>
        <w:t>个工作日内由基金财产清算小组进行公告</w:t>
      </w:r>
      <w:r>
        <w:rPr>
          <w:rFonts w:hint="eastAsia"/>
          <w:kern w:val="0"/>
          <w:sz w:val="24"/>
        </w:rPr>
        <w:t>，基金财产清算小组应当将清算报告登载在规定网站上，并将清算报告提示性公告登载在规定报刊上</w:t>
      </w:r>
      <w:r>
        <w:rPr>
          <w:kern w:val="0"/>
          <w:sz w:val="24"/>
        </w:rPr>
        <w:t>。</w:t>
      </w:r>
    </w:p>
    <w:p w14:paraId="6883104E" w14:textId="77777777" w:rsidR="001A6E24" w:rsidRDefault="000739D5">
      <w:pPr>
        <w:widowControl/>
        <w:adjustRightInd w:val="0"/>
        <w:snapToGrid w:val="0"/>
        <w:spacing w:line="360" w:lineRule="auto"/>
        <w:ind w:firstLineChars="200" w:firstLine="480"/>
        <w:rPr>
          <w:kern w:val="0"/>
          <w:sz w:val="24"/>
        </w:rPr>
      </w:pPr>
      <w:r>
        <w:rPr>
          <w:kern w:val="0"/>
          <w:sz w:val="24"/>
        </w:rPr>
        <w:t>9.</w:t>
      </w:r>
      <w:r>
        <w:rPr>
          <w:rFonts w:hint="eastAsia"/>
          <w:kern w:val="0"/>
          <w:sz w:val="24"/>
        </w:rPr>
        <w:t>基金财产清算账册及文件的保存</w:t>
      </w:r>
    </w:p>
    <w:p w14:paraId="0715735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基金财产清算账册及有关文件由基金托管人保存，保存期限不低于法律法规规定的最低期限。</w:t>
      </w:r>
      <w:bookmarkStart w:id="99" w:name="_Toc124325901"/>
    </w:p>
    <w:p w14:paraId="5CF71691"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十七、违约责任</w:t>
      </w:r>
      <w:bookmarkEnd w:id="99"/>
    </w:p>
    <w:p w14:paraId="0E298E79"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w:t>
      </w:r>
      <w:r>
        <w:rPr>
          <w:kern w:val="0"/>
          <w:sz w:val="24"/>
        </w:rPr>
        <w:t>基金管理人、基金托管人</w:t>
      </w:r>
      <w:r>
        <w:rPr>
          <w:rFonts w:hint="eastAsia"/>
          <w:kern w:val="0"/>
          <w:sz w:val="24"/>
        </w:rPr>
        <w:t>不</w:t>
      </w:r>
      <w:r>
        <w:rPr>
          <w:kern w:val="0"/>
          <w:sz w:val="24"/>
        </w:rPr>
        <w:t>履行</w:t>
      </w:r>
      <w:r>
        <w:rPr>
          <w:rFonts w:hint="eastAsia"/>
          <w:kern w:val="0"/>
          <w:sz w:val="24"/>
        </w:rPr>
        <w:t>本托管协议或履行本托管协议不符合约定的，应当承担违约责任。</w:t>
      </w:r>
    </w:p>
    <w:p w14:paraId="6B4B6A9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w:t>
      </w:r>
      <w:r>
        <w:rPr>
          <w:kern w:val="0"/>
          <w:sz w:val="24"/>
        </w:rPr>
        <w:t>基金管理人、基金托管人在履行各自职责的过程中，违反</w:t>
      </w:r>
      <w:r>
        <w:rPr>
          <w:rFonts w:hint="eastAsia"/>
          <w:kern w:val="0"/>
          <w:sz w:val="24"/>
        </w:rPr>
        <w:t>《基金法》</w:t>
      </w:r>
      <w:r>
        <w:rPr>
          <w:kern w:val="0"/>
          <w:sz w:val="24"/>
        </w:rPr>
        <w:t>或者</w:t>
      </w:r>
      <w:r>
        <w:rPr>
          <w:rFonts w:hint="eastAsia"/>
          <w:kern w:val="0"/>
          <w:sz w:val="24"/>
        </w:rPr>
        <w:t>《基金合同》和本托管协议</w:t>
      </w:r>
      <w:r>
        <w:rPr>
          <w:kern w:val="0"/>
          <w:sz w:val="24"/>
        </w:rPr>
        <w:t>约定，给基金财产或者基金份额持有人造成损害的，应当分别对各自的行为依法承担赔偿责任；因共同行为给基金财产或者基金份额持有人造成损害的，应当承担连带赔偿责任。</w:t>
      </w:r>
    </w:p>
    <w:p w14:paraId="4745B46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8274D4D"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不可抗力；</w:t>
      </w:r>
    </w:p>
    <w:p w14:paraId="76CD7A6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基金管理人和</w:t>
      </w:r>
      <w:r>
        <w:rPr>
          <w:rFonts w:hint="eastAsia"/>
          <w:kern w:val="0"/>
          <w:sz w:val="24"/>
        </w:rPr>
        <w:t>/</w:t>
      </w:r>
      <w:r>
        <w:rPr>
          <w:rFonts w:hint="eastAsia"/>
          <w:kern w:val="0"/>
          <w:sz w:val="24"/>
        </w:rPr>
        <w:t>或基金托管人按照当时有效的法律法规或中国证监会的规定作为或不作为而造成的损失等；</w:t>
      </w:r>
    </w:p>
    <w:p w14:paraId="43DDD62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3</w:t>
      </w:r>
      <w:r>
        <w:rPr>
          <w:kern w:val="0"/>
          <w:sz w:val="24"/>
        </w:rPr>
        <w:t>.</w:t>
      </w:r>
      <w:r>
        <w:rPr>
          <w:rFonts w:hint="eastAsia"/>
          <w:kern w:val="0"/>
          <w:sz w:val="24"/>
        </w:rPr>
        <w:t>在没有过错的情况下，基金管理人由于按照基金合同规定的投资原则行使或不行使其投资权而造成的损失等。</w:t>
      </w:r>
    </w:p>
    <w:p w14:paraId="306D5F13"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E52BA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（五）违约行为虽已发生，但本托管协议能够继续履行的，在最大限度地保护基金份额持有人利益的前提下，基金管理人和基金托管人应当继续履行本托管协议。</w:t>
      </w:r>
    </w:p>
    <w:p w14:paraId="68C77D27"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00" w:name="_Toc124325902"/>
    </w:p>
    <w:p w14:paraId="48192DE4"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十八、争议解决方式</w:t>
      </w:r>
      <w:bookmarkEnd w:id="100"/>
    </w:p>
    <w:p w14:paraId="09024CD0"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因本托管协议产生或与之相关的争议，双方当事人应通过协商解决，协商不能解决的，任何一方均应将争议提交中国国际经济贸易仲裁委员会，仲裁地点为北京市，按照中国国际经济贸易仲裁委员会届时有效的仲裁规则进行仲裁。仲裁裁决是终局的，对当事人均有约束力，</w:t>
      </w:r>
      <w:r>
        <w:rPr>
          <w:rFonts w:hint="eastAsia"/>
          <w:bCs/>
          <w:sz w:val="24"/>
        </w:rPr>
        <w:t>除非仲裁裁决另有规定，</w:t>
      </w:r>
      <w:r>
        <w:rPr>
          <w:rFonts w:hint="eastAsia"/>
          <w:kern w:val="0"/>
          <w:sz w:val="24"/>
        </w:rPr>
        <w:t>仲裁费用由败诉方承担。</w:t>
      </w:r>
    </w:p>
    <w:p w14:paraId="384977E4"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758945B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本托管协议受中国法律（为本托管协议之目的，不含港澳台立法）管辖</w:t>
      </w:r>
      <w:r>
        <w:rPr>
          <w:rFonts w:hint="eastAsia"/>
          <w:bCs/>
          <w:sz w:val="24"/>
        </w:rPr>
        <w:t>并从其解释</w:t>
      </w:r>
      <w:r>
        <w:rPr>
          <w:rFonts w:hint="eastAsia"/>
          <w:kern w:val="0"/>
          <w:sz w:val="24"/>
        </w:rPr>
        <w:t>。</w:t>
      </w:r>
      <w:bookmarkStart w:id="101" w:name="_Toc124325903"/>
    </w:p>
    <w:p w14:paraId="2E452A52"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十九、托管协议的效力</w:t>
      </w:r>
      <w:bookmarkEnd w:id="101"/>
    </w:p>
    <w:p w14:paraId="2E754A5B"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双方对托管协议的效力约定如下：</w:t>
      </w:r>
    </w:p>
    <w:p w14:paraId="64B2523C"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2809A51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（二）托管协议自《基金合同》成立之日起成立，自《基金合同》生效之日起生效。托管协议的有效期自其生效之日起至基金财产清算结果报中国证监会备案并公告之日止。</w:t>
      </w:r>
    </w:p>
    <w:p w14:paraId="150EF5F1"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（三）托管协议自生效之日起对托管协议当事人具有同等的法律约束力。</w:t>
      </w:r>
    </w:p>
    <w:p w14:paraId="79FDD3D2" w14:textId="77777777" w:rsidR="001A6E24" w:rsidRDefault="000739D5">
      <w:pPr>
        <w:widowControl/>
        <w:adjustRightInd w:val="0"/>
        <w:snapToGrid w:val="0"/>
        <w:spacing w:line="360" w:lineRule="auto"/>
        <w:ind w:firstLineChars="200" w:firstLine="480"/>
        <w:rPr>
          <w:rFonts w:ascii="彩虹粗仿宋" w:eastAsia="彩虹粗仿宋" w:hAnsi="宋体" w:cs="Arial"/>
          <w:sz w:val="24"/>
        </w:rPr>
      </w:pPr>
      <w:r>
        <w:rPr>
          <w:rFonts w:hint="eastAsia"/>
          <w:kern w:val="0"/>
          <w:sz w:val="24"/>
        </w:rPr>
        <w:t>（四）本托管协议一式六份，协议双方各持二份，上报监管机构二份，每份具有同等的法律效力。</w:t>
      </w:r>
      <w:bookmarkStart w:id="102" w:name="_Toc124325904"/>
    </w:p>
    <w:p w14:paraId="19B4251D"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二十、其他事项</w:t>
      </w:r>
      <w:bookmarkEnd w:id="102"/>
    </w:p>
    <w:p w14:paraId="2F008CE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如发生有权司法机关依法冻结基金份额持有人的基金份额时，基金管理人应予以配合，承担司法协助义务。</w:t>
      </w:r>
    </w:p>
    <w:p w14:paraId="432A1258"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除本托管协议有明确定义外，本托管协议的用语定义适用《基金合同》的约定。本托管协议未尽事宜，当事人依据《基金合同》、有关法律法规等规定协商办理。</w:t>
      </w:r>
      <w:bookmarkStart w:id="103" w:name="_Toc124325905"/>
    </w:p>
    <w:p w14:paraId="400E9C0D" w14:textId="77777777" w:rsidR="001A6E24" w:rsidRDefault="000739D5">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二十一、托管协议的签订</w:t>
      </w:r>
      <w:bookmarkEnd w:id="103"/>
    </w:p>
    <w:p w14:paraId="0B856FA6" w14:textId="77777777" w:rsidR="001A6E24" w:rsidRDefault="000739D5">
      <w:pPr>
        <w:widowControl/>
        <w:adjustRightInd w:val="0"/>
        <w:snapToGrid w:val="0"/>
        <w:spacing w:line="360" w:lineRule="auto"/>
        <w:ind w:firstLineChars="200" w:firstLine="480"/>
        <w:rPr>
          <w:kern w:val="0"/>
          <w:sz w:val="24"/>
        </w:rPr>
      </w:pPr>
      <w:r>
        <w:rPr>
          <w:rFonts w:hint="eastAsia"/>
          <w:kern w:val="0"/>
          <w:sz w:val="24"/>
        </w:rPr>
        <w:t>本托管协议双方法定代表人或授权代表签章、签订地、签订日</w:t>
      </w:r>
    </w:p>
    <w:p w14:paraId="5844C5B0" w14:textId="77777777" w:rsidR="001A6E24" w:rsidRDefault="001A6E24">
      <w:pPr>
        <w:spacing w:line="360" w:lineRule="auto"/>
        <w:ind w:right="26"/>
        <w:sectPr w:rsidR="001A6E24">
          <w:headerReference w:type="default" r:id="rId11"/>
          <w:footerReference w:type="default" r:id="rId12"/>
          <w:pgSz w:w="11906" w:h="16838"/>
          <w:pgMar w:top="1418" w:right="1701" w:bottom="1418" w:left="1701" w:header="851" w:footer="992" w:gutter="0"/>
          <w:pgNumType w:start="1"/>
          <w:cols w:space="425"/>
          <w:docGrid w:type="lines" w:linePitch="312"/>
        </w:sectPr>
      </w:pPr>
    </w:p>
    <w:p w14:paraId="6160E4ED" w14:textId="09F1C48F" w:rsidR="001A6E24" w:rsidRDefault="000739D5">
      <w:pPr>
        <w:adjustRightInd w:val="0"/>
        <w:snapToGrid w:val="0"/>
        <w:spacing w:line="360" w:lineRule="auto"/>
        <w:ind w:firstLineChars="200" w:firstLine="480"/>
        <w:rPr>
          <w:sz w:val="24"/>
        </w:rPr>
      </w:pPr>
      <w:r>
        <w:rPr>
          <w:rFonts w:hint="eastAsia"/>
          <w:sz w:val="24"/>
        </w:rPr>
        <w:lastRenderedPageBreak/>
        <w:t>本页无正文，为《融通央企精选混合型证券投资基金托管协议》的签字盖章页。</w:t>
      </w:r>
    </w:p>
    <w:p w14:paraId="5D3B38D4" w14:textId="77777777" w:rsidR="001A6E24" w:rsidRDefault="001A6E24">
      <w:pPr>
        <w:adjustRightInd w:val="0"/>
        <w:snapToGrid w:val="0"/>
        <w:spacing w:line="360" w:lineRule="auto"/>
        <w:ind w:firstLineChars="200" w:firstLine="480"/>
        <w:rPr>
          <w:sz w:val="24"/>
        </w:rPr>
      </w:pPr>
    </w:p>
    <w:p w14:paraId="440009F6" w14:textId="77777777" w:rsidR="001A6E24" w:rsidRDefault="001A6E24">
      <w:pPr>
        <w:adjustRightInd w:val="0"/>
        <w:snapToGrid w:val="0"/>
        <w:spacing w:line="360" w:lineRule="auto"/>
        <w:ind w:firstLineChars="200" w:firstLine="480"/>
        <w:rPr>
          <w:sz w:val="24"/>
        </w:rPr>
      </w:pPr>
    </w:p>
    <w:p w14:paraId="508B0040" w14:textId="77777777" w:rsidR="001A6E24" w:rsidRDefault="001A6E24">
      <w:pPr>
        <w:adjustRightInd w:val="0"/>
        <w:snapToGrid w:val="0"/>
        <w:spacing w:line="360" w:lineRule="auto"/>
        <w:ind w:firstLineChars="200" w:firstLine="480"/>
        <w:rPr>
          <w:sz w:val="24"/>
        </w:rPr>
      </w:pPr>
    </w:p>
    <w:p w14:paraId="7F9587F0" w14:textId="77777777" w:rsidR="001A6E24" w:rsidRDefault="001A6E24">
      <w:pPr>
        <w:adjustRightInd w:val="0"/>
        <w:snapToGrid w:val="0"/>
        <w:spacing w:line="360" w:lineRule="auto"/>
        <w:ind w:firstLineChars="200" w:firstLine="480"/>
        <w:rPr>
          <w:sz w:val="24"/>
        </w:rPr>
      </w:pPr>
    </w:p>
    <w:p w14:paraId="268D0996" w14:textId="77777777" w:rsidR="001A6E24" w:rsidRDefault="000739D5">
      <w:pPr>
        <w:adjustRightInd w:val="0"/>
        <w:snapToGrid w:val="0"/>
        <w:spacing w:line="360" w:lineRule="auto"/>
        <w:ind w:firstLineChars="200" w:firstLine="480"/>
        <w:rPr>
          <w:sz w:val="24"/>
        </w:rPr>
      </w:pPr>
      <w:r>
        <w:rPr>
          <w:rFonts w:hint="eastAsia"/>
          <w:sz w:val="24"/>
        </w:rPr>
        <w:t>基金管理人：融通基金管理有限公司（盖章）</w:t>
      </w:r>
    </w:p>
    <w:p w14:paraId="0BB57BAA" w14:textId="77777777" w:rsidR="001A6E24" w:rsidRDefault="001A6E24">
      <w:pPr>
        <w:adjustRightInd w:val="0"/>
        <w:snapToGrid w:val="0"/>
        <w:spacing w:line="360" w:lineRule="auto"/>
        <w:ind w:firstLineChars="200" w:firstLine="480"/>
        <w:rPr>
          <w:sz w:val="24"/>
        </w:rPr>
      </w:pPr>
    </w:p>
    <w:p w14:paraId="4C55D6C3" w14:textId="77777777" w:rsidR="001A6E24" w:rsidRDefault="001A6E24">
      <w:pPr>
        <w:adjustRightInd w:val="0"/>
        <w:snapToGrid w:val="0"/>
        <w:spacing w:line="360" w:lineRule="auto"/>
        <w:ind w:firstLineChars="200" w:firstLine="480"/>
        <w:rPr>
          <w:sz w:val="24"/>
        </w:rPr>
      </w:pPr>
    </w:p>
    <w:p w14:paraId="141CE4EA" w14:textId="77777777" w:rsidR="001A6E24" w:rsidRDefault="000739D5">
      <w:pPr>
        <w:adjustRightInd w:val="0"/>
        <w:snapToGrid w:val="0"/>
        <w:spacing w:line="360" w:lineRule="auto"/>
        <w:ind w:firstLineChars="200" w:firstLine="480"/>
        <w:rPr>
          <w:sz w:val="24"/>
        </w:rPr>
      </w:pPr>
      <w:r>
        <w:rPr>
          <w:rFonts w:hint="eastAsia"/>
          <w:sz w:val="24"/>
        </w:rPr>
        <w:t>法定代表人或授权代表：</w:t>
      </w:r>
      <w:r>
        <w:rPr>
          <w:sz w:val="24"/>
        </w:rPr>
        <w:t xml:space="preserve">                   </w:t>
      </w:r>
    </w:p>
    <w:p w14:paraId="338691F7" w14:textId="77777777" w:rsidR="001A6E24" w:rsidRDefault="001A6E24">
      <w:pPr>
        <w:adjustRightInd w:val="0"/>
        <w:snapToGrid w:val="0"/>
        <w:spacing w:line="360" w:lineRule="auto"/>
        <w:ind w:firstLineChars="200" w:firstLine="480"/>
        <w:rPr>
          <w:sz w:val="24"/>
        </w:rPr>
      </w:pPr>
    </w:p>
    <w:p w14:paraId="4C9A89F8" w14:textId="77777777" w:rsidR="001A6E24" w:rsidRDefault="001A6E24">
      <w:pPr>
        <w:adjustRightInd w:val="0"/>
        <w:snapToGrid w:val="0"/>
        <w:spacing w:line="360" w:lineRule="auto"/>
        <w:ind w:firstLineChars="200" w:firstLine="480"/>
        <w:rPr>
          <w:sz w:val="24"/>
        </w:rPr>
      </w:pPr>
    </w:p>
    <w:p w14:paraId="5FABD5BE" w14:textId="77777777" w:rsidR="001A6E24" w:rsidRDefault="001A6E24">
      <w:pPr>
        <w:adjustRightInd w:val="0"/>
        <w:snapToGrid w:val="0"/>
        <w:spacing w:line="360" w:lineRule="auto"/>
        <w:ind w:firstLineChars="200" w:firstLine="480"/>
        <w:rPr>
          <w:sz w:val="24"/>
        </w:rPr>
      </w:pPr>
    </w:p>
    <w:p w14:paraId="5E33D461" w14:textId="77777777" w:rsidR="001A6E24" w:rsidRDefault="001A6E24">
      <w:pPr>
        <w:adjustRightInd w:val="0"/>
        <w:snapToGrid w:val="0"/>
        <w:spacing w:line="360" w:lineRule="auto"/>
        <w:ind w:firstLineChars="200" w:firstLine="480"/>
        <w:rPr>
          <w:sz w:val="24"/>
        </w:rPr>
      </w:pPr>
    </w:p>
    <w:p w14:paraId="05677ED5" w14:textId="77777777" w:rsidR="001A6E24" w:rsidRDefault="001A6E24">
      <w:pPr>
        <w:adjustRightInd w:val="0"/>
        <w:snapToGrid w:val="0"/>
        <w:spacing w:line="360" w:lineRule="auto"/>
        <w:ind w:firstLineChars="200" w:firstLine="480"/>
        <w:rPr>
          <w:sz w:val="24"/>
        </w:rPr>
      </w:pPr>
    </w:p>
    <w:p w14:paraId="6E7972F0" w14:textId="77777777" w:rsidR="001A6E24" w:rsidRDefault="001A6E24">
      <w:pPr>
        <w:adjustRightInd w:val="0"/>
        <w:snapToGrid w:val="0"/>
        <w:spacing w:line="360" w:lineRule="auto"/>
        <w:ind w:firstLineChars="200" w:firstLine="480"/>
        <w:rPr>
          <w:sz w:val="24"/>
        </w:rPr>
      </w:pPr>
    </w:p>
    <w:p w14:paraId="443B5EEB" w14:textId="77777777" w:rsidR="001A6E24" w:rsidRDefault="001A6E24">
      <w:pPr>
        <w:adjustRightInd w:val="0"/>
        <w:snapToGrid w:val="0"/>
        <w:spacing w:line="360" w:lineRule="auto"/>
        <w:ind w:firstLineChars="200" w:firstLine="480"/>
        <w:rPr>
          <w:sz w:val="24"/>
        </w:rPr>
      </w:pPr>
    </w:p>
    <w:p w14:paraId="34B52F6B" w14:textId="77777777" w:rsidR="001A6E24" w:rsidRDefault="001A6E24">
      <w:pPr>
        <w:adjustRightInd w:val="0"/>
        <w:snapToGrid w:val="0"/>
        <w:spacing w:line="360" w:lineRule="auto"/>
        <w:ind w:firstLineChars="200" w:firstLine="480"/>
        <w:rPr>
          <w:sz w:val="24"/>
        </w:rPr>
      </w:pPr>
    </w:p>
    <w:p w14:paraId="25E8F1BE" w14:textId="77777777" w:rsidR="001A6E24" w:rsidRDefault="001A6E24">
      <w:pPr>
        <w:adjustRightInd w:val="0"/>
        <w:snapToGrid w:val="0"/>
        <w:spacing w:line="360" w:lineRule="auto"/>
        <w:ind w:firstLineChars="200" w:firstLine="480"/>
        <w:rPr>
          <w:sz w:val="24"/>
        </w:rPr>
      </w:pPr>
    </w:p>
    <w:p w14:paraId="748EBFA4" w14:textId="77777777" w:rsidR="001A6E24" w:rsidRDefault="000739D5">
      <w:pPr>
        <w:adjustRightInd w:val="0"/>
        <w:snapToGrid w:val="0"/>
        <w:spacing w:line="360" w:lineRule="auto"/>
        <w:ind w:firstLineChars="200" w:firstLine="480"/>
        <w:rPr>
          <w:sz w:val="24"/>
        </w:rPr>
      </w:pPr>
      <w:r>
        <w:rPr>
          <w:rFonts w:hint="eastAsia"/>
          <w:sz w:val="24"/>
        </w:rPr>
        <w:t>基金托管人：中国建设银行股份有限公司（盖章）</w:t>
      </w:r>
    </w:p>
    <w:p w14:paraId="235AEA92" w14:textId="77777777" w:rsidR="001A6E24" w:rsidRDefault="001A6E24">
      <w:pPr>
        <w:adjustRightInd w:val="0"/>
        <w:snapToGrid w:val="0"/>
        <w:spacing w:line="360" w:lineRule="auto"/>
        <w:ind w:firstLineChars="200" w:firstLine="480"/>
        <w:rPr>
          <w:sz w:val="24"/>
        </w:rPr>
      </w:pPr>
    </w:p>
    <w:p w14:paraId="71E59D68" w14:textId="77777777" w:rsidR="001A6E24" w:rsidRDefault="001A6E24">
      <w:pPr>
        <w:adjustRightInd w:val="0"/>
        <w:snapToGrid w:val="0"/>
        <w:spacing w:line="360" w:lineRule="auto"/>
        <w:ind w:firstLineChars="200" w:firstLine="480"/>
        <w:rPr>
          <w:sz w:val="24"/>
        </w:rPr>
      </w:pPr>
    </w:p>
    <w:p w14:paraId="10D48BBB" w14:textId="77777777" w:rsidR="001A6E24" w:rsidRDefault="000739D5">
      <w:pPr>
        <w:adjustRightInd w:val="0"/>
        <w:snapToGrid w:val="0"/>
        <w:spacing w:line="360" w:lineRule="auto"/>
        <w:ind w:firstLineChars="200" w:firstLine="480"/>
        <w:rPr>
          <w:sz w:val="24"/>
        </w:rPr>
      </w:pPr>
      <w:r>
        <w:rPr>
          <w:rFonts w:hint="eastAsia"/>
          <w:sz w:val="24"/>
        </w:rPr>
        <w:t>法定代表人或授权代表：</w:t>
      </w:r>
      <w:r>
        <w:rPr>
          <w:sz w:val="24"/>
        </w:rPr>
        <w:t xml:space="preserve">                   </w:t>
      </w:r>
    </w:p>
    <w:p w14:paraId="45013C9B" w14:textId="77777777" w:rsidR="001A6E24" w:rsidRDefault="001A6E24">
      <w:pPr>
        <w:adjustRightInd w:val="0"/>
        <w:snapToGrid w:val="0"/>
        <w:spacing w:line="360" w:lineRule="auto"/>
        <w:ind w:firstLineChars="200" w:firstLine="480"/>
        <w:rPr>
          <w:sz w:val="24"/>
        </w:rPr>
      </w:pPr>
    </w:p>
    <w:p w14:paraId="5B7EDE93" w14:textId="77777777" w:rsidR="001A6E24" w:rsidRDefault="001A6E24">
      <w:pPr>
        <w:adjustRightInd w:val="0"/>
        <w:snapToGrid w:val="0"/>
        <w:spacing w:line="360" w:lineRule="auto"/>
        <w:ind w:firstLineChars="200" w:firstLine="480"/>
        <w:rPr>
          <w:sz w:val="24"/>
        </w:rPr>
      </w:pPr>
    </w:p>
    <w:p w14:paraId="2D2D8632" w14:textId="77777777" w:rsidR="001A6E24" w:rsidRDefault="001A6E24">
      <w:pPr>
        <w:adjustRightInd w:val="0"/>
        <w:snapToGrid w:val="0"/>
        <w:spacing w:line="360" w:lineRule="auto"/>
        <w:ind w:firstLineChars="200" w:firstLine="480"/>
        <w:rPr>
          <w:sz w:val="24"/>
        </w:rPr>
      </w:pPr>
    </w:p>
    <w:p w14:paraId="4681E901" w14:textId="77777777" w:rsidR="001A6E24" w:rsidRDefault="001A6E24">
      <w:pPr>
        <w:adjustRightInd w:val="0"/>
        <w:snapToGrid w:val="0"/>
        <w:spacing w:line="360" w:lineRule="auto"/>
        <w:ind w:firstLineChars="200" w:firstLine="480"/>
        <w:rPr>
          <w:sz w:val="24"/>
        </w:rPr>
      </w:pPr>
    </w:p>
    <w:p w14:paraId="00D4B817" w14:textId="77777777" w:rsidR="001A6E24" w:rsidRDefault="001A6E24">
      <w:pPr>
        <w:adjustRightInd w:val="0"/>
        <w:snapToGrid w:val="0"/>
        <w:spacing w:line="360" w:lineRule="auto"/>
        <w:ind w:firstLineChars="200" w:firstLine="480"/>
        <w:rPr>
          <w:sz w:val="24"/>
        </w:rPr>
      </w:pPr>
    </w:p>
    <w:p w14:paraId="7BA6ECF8" w14:textId="77777777" w:rsidR="001A6E24" w:rsidRDefault="001A6E24">
      <w:pPr>
        <w:adjustRightInd w:val="0"/>
        <w:snapToGrid w:val="0"/>
        <w:spacing w:line="360" w:lineRule="auto"/>
        <w:ind w:firstLineChars="200" w:firstLine="480"/>
        <w:rPr>
          <w:sz w:val="24"/>
        </w:rPr>
      </w:pPr>
    </w:p>
    <w:p w14:paraId="4DDDE326" w14:textId="77777777" w:rsidR="001A6E24" w:rsidRDefault="001A6E24">
      <w:pPr>
        <w:adjustRightInd w:val="0"/>
        <w:snapToGrid w:val="0"/>
        <w:spacing w:line="360" w:lineRule="auto"/>
        <w:ind w:firstLineChars="200" w:firstLine="480"/>
        <w:rPr>
          <w:sz w:val="24"/>
        </w:rPr>
      </w:pPr>
    </w:p>
    <w:p w14:paraId="54601453" w14:textId="77777777" w:rsidR="001A6E24" w:rsidRDefault="001A6E24">
      <w:pPr>
        <w:adjustRightInd w:val="0"/>
        <w:snapToGrid w:val="0"/>
        <w:spacing w:line="360" w:lineRule="auto"/>
        <w:ind w:firstLineChars="200" w:firstLine="480"/>
        <w:rPr>
          <w:sz w:val="24"/>
        </w:rPr>
      </w:pPr>
    </w:p>
    <w:p w14:paraId="04F8A719" w14:textId="00EFE4BB" w:rsidR="001A6E24" w:rsidRDefault="000739D5">
      <w:pPr>
        <w:adjustRightInd w:val="0"/>
        <w:snapToGrid w:val="0"/>
        <w:spacing w:line="360" w:lineRule="auto"/>
        <w:ind w:firstLineChars="200" w:firstLine="482"/>
        <w:rPr>
          <w:b/>
          <w:sz w:val="24"/>
        </w:rPr>
      </w:pPr>
      <w:r>
        <w:rPr>
          <w:rFonts w:hint="eastAsia"/>
          <w:b/>
          <w:sz w:val="24"/>
        </w:rPr>
        <w:t>签订地点：北京</w:t>
      </w:r>
    </w:p>
    <w:p w14:paraId="522F0F9F" w14:textId="2F63B6A7" w:rsidR="001A6E24" w:rsidRDefault="000739D5">
      <w:pPr>
        <w:adjustRightInd w:val="0"/>
        <w:snapToGrid w:val="0"/>
        <w:spacing w:line="360" w:lineRule="auto"/>
        <w:ind w:firstLineChars="200" w:firstLine="482"/>
        <w:rPr>
          <w:b/>
          <w:sz w:val="24"/>
        </w:rPr>
      </w:pPr>
      <w:r>
        <w:rPr>
          <w:rFonts w:hint="eastAsia"/>
          <w:b/>
          <w:sz w:val="24"/>
        </w:rPr>
        <w:t>签</w:t>
      </w:r>
      <w:r>
        <w:rPr>
          <w:b/>
          <w:sz w:val="24"/>
        </w:rPr>
        <w:t xml:space="preserve"> </w:t>
      </w:r>
      <w:r>
        <w:rPr>
          <w:rFonts w:hint="eastAsia"/>
          <w:b/>
          <w:sz w:val="24"/>
        </w:rPr>
        <w:t>订</w:t>
      </w:r>
      <w:r>
        <w:rPr>
          <w:b/>
          <w:sz w:val="24"/>
        </w:rPr>
        <w:t xml:space="preserve"> </w:t>
      </w:r>
      <w:r>
        <w:rPr>
          <w:rFonts w:hint="eastAsia"/>
          <w:b/>
          <w:sz w:val="24"/>
        </w:rPr>
        <w:t>日：</w:t>
      </w:r>
      <w:r w:rsidR="00F77309">
        <w:rPr>
          <w:rFonts w:hint="eastAsia"/>
          <w:b/>
          <w:sz w:val="24"/>
        </w:rPr>
        <w:t xml:space="preserve"> </w:t>
      </w:r>
      <w:r w:rsidR="00F77309">
        <w:rPr>
          <w:b/>
          <w:sz w:val="24"/>
        </w:rPr>
        <w:t xml:space="preserve">     </w:t>
      </w:r>
      <w:r w:rsidR="00F546FD">
        <w:rPr>
          <w:b/>
          <w:sz w:val="24"/>
        </w:rPr>
        <w:t xml:space="preserve"> </w:t>
      </w:r>
      <w:r>
        <w:rPr>
          <w:rFonts w:hint="eastAsia"/>
          <w:b/>
          <w:sz w:val="24"/>
        </w:rPr>
        <w:t>年</w:t>
      </w:r>
      <w:r>
        <w:rPr>
          <w:b/>
          <w:sz w:val="24"/>
        </w:rPr>
        <w:t xml:space="preserve"> </w:t>
      </w:r>
      <w:r>
        <w:rPr>
          <w:rFonts w:hint="eastAsia"/>
          <w:b/>
          <w:sz w:val="24"/>
        </w:rPr>
        <w:t xml:space="preserve">   </w:t>
      </w:r>
      <w:r>
        <w:rPr>
          <w:rFonts w:hint="eastAsia"/>
          <w:b/>
          <w:sz w:val="24"/>
        </w:rPr>
        <w:t>月</w:t>
      </w:r>
      <w:r>
        <w:rPr>
          <w:b/>
          <w:sz w:val="24"/>
        </w:rPr>
        <w:t xml:space="preserve"> </w:t>
      </w:r>
      <w:r>
        <w:rPr>
          <w:rFonts w:hint="eastAsia"/>
          <w:b/>
          <w:sz w:val="24"/>
        </w:rPr>
        <w:t xml:space="preserve">   </w:t>
      </w:r>
      <w:r>
        <w:rPr>
          <w:rFonts w:hint="eastAsia"/>
          <w:b/>
          <w:sz w:val="24"/>
        </w:rPr>
        <w:t>日</w:t>
      </w:r>
    </w:p>
    <w:sectPr w:rsidR="001A6E24">
      <w:headerReference w:type="default" r:id="rId13"/>
      <w:footerReference w:type="default" r:id="rId14"/>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CA393" w14:textId="77777777" w:rsidR="00EA1F81" w:rsidRDefault="00EA1F81">
      <w:r>
        <w:separator/>
      </w:r>
    </w:p>
  </w:endnote>
  <w:endnote w:type="continuationSeparator" w:id="0">
    <w:p w14:paraId="43C3485F" w14:textId="77777777" w:rsidR="00EA1F81" w:rsidRDefault="00EA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565E" w14:textId="77777777" w:rsidR="00C55456" w:rsidRDefault="00C5545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56B2F09" w14:textId="77777777" w:rsidR="00C55456" w:rsidRDefault="00C554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7198" w14:textId="77777777" w:rsidR="00C55456" w:rsidRDefault="00C55456">
    <w:pPr>
      <w:pStyle w:val="ac"/>
      <w:framePr w:wrap="around" w:vAnchor="text" w:hAnchor="margin" w:xAlign="center" w:y="1"/>
      <w:rPr>
        <w:rStyle w:val="af4"/>
      </w:rPr>
    </w:pPr>
  </w:p>
  <w:p w14:paraId="533FC79C" w14:textId="77777777" w:rsidR="00C55456" w:rsidRDefault="00C5545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710201"/>
    </w:sdtPr>
    <w:sdtEndPr/>
    <w:sdtContent>
      <w:p w14:paraId="01098F6E" w14:textId="1256EDCC" w:rsidR="00C55456" w:rsidRDefault="00C55456">
        <w:pPr>
          <w:pStyle w:val="ac"/>
          <w:jc w:val="center"/>
        </w:pPr>
        <w:r>
          <w:fldChar w:fldCharType="begin"/>
        </w:r>
        <w:r>
          <w:instrText>PAGE   \* MERGEFORMAT</w:instrText>
        </w:r>
        <w:r>
          <w:fldChar w:fldCharType="separate"/>
        </w:r>
        <w:r w:rsidR="006E2094" w:rsidRPr="006E2094">
          <w:rPr>
            <w:noProof/>
            <w:lang w:val="zh-CN"/>
          </w:rPr>
          <w:t>19</w:t>
        </w:r>
        <w:r>
          <w:fldChar w:fldCharType="end"/>
        </w:r>
      </w:p>
    </w:sdtContent>
  </w:sdt>
  <w:p w14:paraId="66D01865" w14:textId="77777777" w:rsidR="00C55456" w:rsidRDefault="00C55456">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5EAF" w14:textId="77777777" w:rsidR="00C55456" w:rsidRDefault="00C55456">
    <w:pPr>
      <w:pStyle w:val="ac"/>
      <w:jc w:val="center"/>
    </w:pPr>
  </w:p>
  <w:p w14:paraId="46DB23D5" w14:textId="77777777" w:rsidR="00C55456" w:rsidRDefault="00C554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F6A4D" w14:textId="77777777" w:rsidR="00EA1F81" w:rsidRDefault="00EA1F81">
      <w:r>
        <w:separator/>
      </w:r>
    </w:p>
  </w:footnote>
  <w:footnote w:type="continuationSeparator" w:id="0">
    <w:p w14:paraId="36FB3BAF" w14:textId="77777777" w:rsidR="00EA1F81" w:rsidRDefault="00EA1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D00D" w14:textId="77777777" w:rsidR="00C55456" w:rsidRDefault="00C55456">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AD2B" w14:textId="77777777" w:rsidR="00C55456" w:rsidRDefault="00C55456">
    <w:pPr>
      <w:pStyle w:val="ae"/>
      <w:pBdr>
        <w:bottom w:val="none" w:sz="0" w:space="0" w:color="auto"/>
      </w:pBdr>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4CF2" w14:textId="1F62FE96" w:rsidR="00C55456" w:rsidRDefault="00C55456">
    <w:pPr>
      <w:pStyle w:val="ae"/>
      <w:wordWrap w:val="0"/>
      <w:jc w:val="right"/>
    </w:pPr>
    <w:r>
      <w:rPr>
        <w:rFonts w:hint="eastAsia"/>
      </w:rPr>
      <w:t xml:space="preserve">                                                         </w:t>
    </w:r>
    <w:r>
      <w:rPr>
        <w:rFonts w:hint="eastAsia"/>
      </w:rPr>
      <w:t>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657C" w14:textId="77777777" w:rsidR="00C55456" w:rsidRDefault="00C55456">
    <w:pPr>
      <w:pStyle w:val="ae"/>
      <w:pBdr>
        <w:bottom w:val="none" w:sz="0" w:space="0" w:color="auto"/>
      </w:pBdr>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CB499A"/>
    <w:rsid w:val="D75FCBF3"/>
    <w:rsid w:val="000001D0"/>
    <w:rsid w:val="0000039E"/>
    <w:rsid w:val="00000657"/>
    <w:rsid w:val="00001567"/>
    <w:rsid w:val="000055D3"/>
    <w:rsid w:val="00005E98"/>
    <w:rsid w:val="000076A3"/>
    <w:rsid w:val="0001136E"/>
    <w:rsid w:val="00016A77"/>
    <w:rsid w:val="00017353"/>
    <w:rsid w:val="00021153"/>
    <w:rsid w:val="00021FED"/>
    <w:rsid w:val="00023944"/>
    <w:rsid w:val="000244D0"/>
    <w:rsid w:val="00025CA7"/>
    <w:rsid w:val="00027D79"/>
    <w:rsid w:val="00031A23"/>
    <w:rsid w:val="00032373"/>
    <w:rsid w:val="00033994"/>
    <w:rsid w:val="00034F24"/>
    <w:rsid w:val="00036583"/>
    <w:rsid w:val="00043083"/>
    <w:rsid w:val="00043153"/>
    <w:rsid w:val="00051934"/>
    <w:rsid w:val="000529B3"/>
    <w:rsid w:val="00055A12"/>
    <w:rsid w:val="0005698E"/>
    <w:rsid w:val="0005776B"/>
    <w:rsid w:val="00061630"/>
    <w:rsid w:val="00061C97"/>
    <w:rsid w:val="00062442"/>
    <w:rsid w:val="00062DF9"/>
    <w:rsid w:val="00064D2D"/>
    <w:rsid w:val="00070234"/>
    <w:rsid w:val="0007087F"/>
    <w:rsid w:val="00071CEB"/>
    <w:rsid w:val="00072210"/>
    <w:rsid w:val="00072447"/>
    <w:rsid w:val="000739D5"/>
    <w:rsid w:val="00081829"/>
    <w:rsid w:val="00081FB9"/>
    <w:rsid w:val="00082D93"/>
    <w:rsid w:val="000833D9"/>
    <w:rsid w:val="0008410B"/>
    <w:rsid w:val="0008425C"/>
    <w:rsid w:val="00084B24"/>
    <w:rsid w:val="00085664"/>
    <w:rsid w:val="000950E1"/>
    <w:rsid w:val="00097DFF"/>
    <w:rsid w:val="000A0691"/>
    <w:rsid w:val="000A0ABD"/>
    <w:rsid w:val="000A1A70"/>
    <w:rsid w:val="000A23C4"/>
    <w:rsid w:val="000A31DB"/>
    <w:rsid w:val="000A3FCD"/>
    <w:rsid w:val="000A45CB"/>
    <w:rsid w:val="000A4E1E"/>
    <w:rsid w:val="000A5184"/>
    <w:rsid w:val="000B0779"/>
    <w:rsid w:val="000B5BC4"/>
    <w:rsid w:val="000C3603"/>
    <w:rsid w:val="000C3701"/>
    <w:rsid w:val="000D152D"/>
    <w:rsid w:val="000D19A6"/>
    <w:rsid w:val="000D1DE9"/>
    <w:rsid w:val="000D5A72"/>
    <w:rsid w:val="000E02F6"/>
    <w:rsid w:val="000E0953"/>
    <w:rsid w:val="000E0B0C"/>
    <w:rsid w:val="000E0EB9"/>
    <w:rsid w:val="000E3F0E"/>
    <w:rsid w:val="000E5658"/>
    <w:rsid w:val="0010014A"/>
    <w:rsid w:val="0010060B"/>
    <w:rsid w:val="00102942"/>
    <w:rsid w:val="001030EC"/>
    <w:rsid w:val="00104869"/>
    <w:rsid w:val="001052D4"/>
    <w:rsid w:val="00105548"/>
    <w:rsid w:val="0010665C"/>
    <w:rsid w:val="001073FF"/>
    <w:rsid w:val="00111AE2"/>
    <w:rsid w:val="00111F59"/>
    <w:rsid w:val="001153E0"/>
    <w:rsid w:val="00116A94"/>
    <w:rsid w:val="00121EDD"/>
    <w:rsid w:val="00125C8E"/>
    <w:rsid w:val="001302B9"/>
    <w:rsid w:val="0013117A"/>
    <w:rsid w:val="001319DB"/>
    <w:rsid w:val="00132F7A"/>
    <w:rsid w:val="00133902"/>
    <w:rsid w:val="00133B68"/>
    <w:rsid w:val="00135C60"/>
    <w:rsid w:val="00136BFD"/>
    <w:rsid w:val="00142063"/>
    <w:rsid w:val="00145280"/>
    <w:rsid w:val="00145532"/>
    <w:rsid w:val="00146189"/>
    <w:rsid w:val="001466D1"/>
    <w:rsid w:val="00146F10"/>
    <w:rsid w:val="001474F1"/>
    <w:rsid w:val="00151C38"/>
    <w:rsid w:val="00154E43"/>
    <w:rsid w:val="001566FA"/>
    <w:rsid w:val="00157437"/>
    <w:rsid w:val="001617EE"/>
    <w:rsid w:val="001649D8"/>
    <w:rsid w:val="00164ED5"/>
    <w:rsid w:val="0017126B"/>
    <w:rsid w:val="0017287B"/>
    <w:rsid w:val="00173C9C"/>
    <w:rsid w:val="00174C7E"/>
    <w:rsid w:val="00176132"/>
    <w:rsid w:val="001761E9"/>
    <w:rsid w:val="00182A3C"/>
    <w:rsid w:val="00183913"/>
    <w:rsid w:val="00183B75"/>
    <w:rsid w:val="00184BBF"/>
    <w:rsid w:val="001863C7"/>
    <w:rsid w:val="001913D1"/>
    <w:rsid w:val="0019244B"/>
    <w:rsid w:val="001930D1"/>
    <w:rsid w:val="00196679"/>
    <w:rsid w:val="00196938"/>
    <w:rsid w:val="00196BFB"/>
    <w:rsid w:val="001A0C4E"/>
    <w:rsid w:val="001A1A14"/>
    <w:rsid w:val="001A34D1"/>
    <w:rsid w:val="001A3BBF"/>
    <w:rsid w:val="001A658D"/>
    <w:rsid w:val="001A6E24"/>
    <w:rsid w:val="001A7BCA"/>
    <w:rsid w:val="001B33D4"/>
    <w:rsid w:val="001B3849"/>
    <w:rsid w:val="001B3BD5"/>
    <w:rsid w:val="001C0296"/>
    <w:rsid w:val="001C06FF"/>
    <w:rsid w:val="001C1D91"/>
    <w:rsid w:val="001C1E7B"/>
    <w:rsid w:val="001C2C14"/>
    <w:rsid w:val="001C3116"/>
    <w:rsid w:val="001C399D"/>
    <w:rsid w:val="001C4E87"/>
    <w:rsid w:val="001D32D1"/>
    <w:rsid w:val="001D45DA"/>
    <w:rsid w:val="001D561B"/>
    <w:rsid w:val="001E0271"/>
    <w:rsid w:val="001E037C"/>
    <w:rsid w:val="001E092C"/>
    <w:rsid w:val="001E26DA"/>
    <w:rsid w:val="001E3E50"/>
    <w:rsid w:val="001E411B"/>
    <w:rsid w:val="001E6270"/>
    <w:rsid w:val="001E63F5"/>
    <w:rsid w:val="001E7AEA"/>
    <w:rsid w:val="001F2A61"/>
    <w:rsid w:val="001F2FA1"/>
    <w:rsid w:val="001F348B"/>
    <w:rsid w:val="001F3BC3"/>
    <w:rsid w:val="001F3F69"/>
    <w:rsid w:val="001F4A0B"/>
    <w:rsid w:val="001F4C50"/>
    <w:rsid w:val="001F58EF"/>
    <w:rsid w:val="001F5AA3"/>
    <w:rsid w:val="001F71F6"/>
    <w:rsid w:val="001F73BE"/>
    <w:rsid w:val="001F7AD9"/>
    <w:rsid w:val="001F7F39"/>
    <w:rsid w:val="002031DA"/>
    <w:rsid w:val="002062E6"/>
    <w:rsid w:val="00207544"/>
    <w:rsid w:val="00211811"/>
    <w:rsid w:val="00214E3B"/>
    <w:rsid w:val="00215AAC"/>
    <w:rsid w:val="0022287C"/>
    <w:rsid w:val="00222E93"/>
    <w:rsid w:val="002230CE"/>
    <w:rsid w:val="0022335B"/>
    <w:rsid w:val="0022493D"/>
    <w:rsid w:val="00224B3E"/>
    <w:rsid w:val="0022631B"/>
    <w:rsid w:val="00226A04"/>
    <w:rsid w:val="0022704F"/>
    <w:rsid w:val="00227AF6"/>
    <w:rsid w:val="00231DB3"/>
    <w:rsid w:val="002326BD"/>
    <w:rsid w:val="00234BB4"/>
    <w:rsid w:val="002367AB"/>
    <w:rsid w:val="002373F8"/>
    <w:rsid w:val="00240C69"/>
    <w:rsid w:val="00243111"/>
    <w:rsid w:val="00244AE8"/>
    <w:rsid w:val="002452CA"/>
    <w:rsid w:val="00246E4A"/>
    <w:rsid w:val="00246F13"/>
    <w:rsid w:val="00247D83"/>
    <w:rsid w:val="00253002"/>
    <w:rsid w:val="00253C76"/>
    <w:rsid w:val="00255DA2"/>
    <w:rsid w:val="0026029E"/>
    <w:rsid w:val="00262A47"/>
    <w:rsid w:val="0026490E"/>
    <w:rsid w:val="00265BC6"/>
    <w:rsid w:val="00266EB5"/>
    <w:rsid w:val="0027206F"/>
    <w:rsid w:val="00272F26"/>
    <w:rsid w:val="00272FF3"/>
    <w:rsid w:val="00276C30"/>
    <w:rsid w:val="00277660"/>
    <w:rsid w:val="00277872"/>
    <w:rsid w:val="00281948"/>
    <w:rsid w:val="002821CD"/>
    <w:rsid w:val="00286C2E"/>
    <w:rsid w:val="002876E9"/>
    <w:rsid w:val="00295B46"/>
    <w:rsid w:val="0029614F"/>
    <w:rsid w:val="002A0657"/>
    <w:rsid w:val="002A23FA"/>
    <w:rsid w:val="002A4599"/>
    <w:rsid w:val="002A6B02"/>
    <w:rsid w:val="002B0968"/>
    <w:rsid w:val="002B16FA"/>
    <w:rsid w:val="002B4FFC"/>
    <w:rsid w:val="002B58CD"/>
    <w:rsid w:val="002B7B5F"/>
    <w:rsid w:val="002C128D"/>
    <w:rsid w:val="002C488C"/>
    <w:rsid w:val="002C5B6F"/>
    <w:rsid w:val="002C6D2E"/>
    <w:rsid w:val="002D1A53"/>
    <w:rsid w:val="002D2B99"/>
    <w:rsid w:val="002D7CF4"/>
    <w:rsid w:val="002D7D71"/>
    <w:rsid w:val="002E380F"/>
    <w:rsid w:val="002E4989"/>
    <w:rsid w:val="002E4A40"/>
    <w:rsid w:val="002E54E6"/>
    <w:rsid w:val="002E6F3F"/>
    <w:rsid w:val="002E7C40"/>
    <w:rsid w:val="002F16AA"/>
    <w:rsid w:val="002F2414"/>
    <w:rsid w:val="002F30D0"/>
    <w:rsid w:val="002F4449"/>
    <w:rsid w:val="002F4E2F"/>
    <w:rsid w:val="00300C37"/>
    <w:rsid w:val="00300EE5"/>
    <w:rsid w:val="0030111D"/>
    <w:rsid w:val="00301336"/>
    <w:rsid w:val="0030310B"/>
    <w:rsid w:val="00306457"/>
    <w:rsid w:val="00306C82"/>
    <w:rsid w:val="003115B3"/>
    <w:rsid w:val="00315087"/>
    <w:rsid w:val="0031519E"/>
    <w:rsid w:val="0031529A"/>
    <w:rsid w:val="00315ECF"/>
    <w:rsid w:val="0031639B"/>
    <w:rsid w:val="00316749"/>
    <w:rsid w:val="003168AA"/>
    <w:rsid w:val="00317883"/>
    <w:rsid w:val="0032307D"/>
    <w:rsid w:val="00323979"/>
    <w:rsid w:val="00323E5E"/>
    <w:rsid w:val="00324350"/>
    <w:rsid w:val="00325FE3"/>
    <w:rsid w:val="00326743"/>
    <w:rsid w:val="00327C8E"/>
    <w:rsid w:val="00330B0B"/>
    <w:rsid w:val="00330CC0"/>
    <w:rsid w:val="003325F6"/>
    <w:rsid w:val="003331DA"/>
    <w:rsid w:val="003348FC"/>
    <w:rsid w:val="00334B5C"/>
    <w:rsid w:val="0033550C"/>
    <w:rsid w:val="0033637C"/>
    <w:rsid w:val="00337DE3"/>
    <w:rsid w:val="00337E64"/>
    <w:rsid w:val="00345356"/>
    <w:rsid w:val="003472E8"/>
    <w:rsid w:val="00347303"/>
    <w:rsid w:val="003504B5"/>
    <w:rsid w:val="003535AF"/>
    <w:rsid w:val="00353829"/>
    <w:rsid w:val="00355F34"/>
    <w:rsid w:val="00357277"/>
    <w:rsid w:val="00360771"/>
    <w:rsid w:val="0036233E"/>
    <w:rsid w:val="0036336D"/>
    <w:rsid w:val="0036447F"/>
    <w:rsid w:val="00364BC6"/>
    <w:rsid w:val="0036577A"/>
    <w:rsid w:val="00366612"/>
    <w:rsid w:val="003668EB"/>
    <w:rsid w:val="0037126C"/>
    <w:rsid w:val="0037170A"/>
    <w:rsid w:val="00371B15"/>
    <w:rsid w:val="003721FE"/>
    <w:rsid w:val="003726C1"/>
    <w:rsid w:val="003727D7"/>
    <w:rsid w:val="003743E1"/>
    <w:rsid w:val="00374AEF"/>
    <w:rsid w:val="00377691"/>
    <w:rsid w:val="00381F04"/>
    <w:rsid w:val="00387A88"/>
    <w:rsid w:val="003925DF"/>
    <w:rsid w:val="003930CF"/>
    <w:rsid w:val="003940B8"/>
    <w:rsid w:val="00395443"/>
    <w:rsid w:val="00395DFE"/>
    <w:rsid w:val="003962D8"/>
    <w:rsid w:val="003A18C6"/>
    <w:rsid w:val="003A198D"/>
    <w:rsid w:val="003A31B5"/>
    <w:rsid w:val="003A7CBE"/>
    <w:rsid w:val="003B5515"/>
    <w:rsid w:val="003B5927"/>
    <w:rsid w:val="003B6D61"/>
    <w:rsid w:val="003B6EFA"/>
    <w:rsid w:val="003B7A7B"/>
    <w:rsid w:val="003B7D4B"/>
    <w:rsid w:val="003C16C8"/>
    <w:rsid w:val="003C33CA"/>
    <w:rsid w:val="003C3C46"/>
    <w:rsid w:val="003C3E15"/>
    <w:rsid w:val="003C4D5B"/>
    <w:rsid w:val="003C59A7"/>
    <w:rsid w:val="003C6752"/>
    <w:rsid w:val="003C715E"/>
    <w:rsid w:val="003D197E"/>
    <w:rsid w:val="003D1D0C"/>
    <w:rsid w:val="003D435C"/>
    <w:rsid w:val="003D49D1"/>
    <w:rsid w:val="003D5B2B"/>
    <w:rsid w:val="003D5E0D"/>
    <w:rsid w:val="003D5E57"/>
    <w:rsid w:val="003D6741"/>
    <w:rsid w:val="003D7D1C"/>
    <w:rsid w:val="004003DD"/>
    <w:rsid w:val="00402A40"/>
    <w:rsid w:val="004040C0"/>
    <w:rsid w:val="0040453D"/>
    <w:rsid w:val="0040472A"/>
    <w:rsid w:val="004048FD"/>
    <w:rsid w:val="00407A85"/>
    <w:rsid w:val="00407C5A"/>
    <w:rsid w:val="00407E7D"/>
    <w:rsid w:val="00407E95"/>
    <w:rsid w:val="0041666D"/>
    <w:rsid w:val="00416EEA"/>
    <w:rsid w:val="00417DA8"/>
    <w:rsid w:val="004204D3"/>
    <w:rsid w:val="00422241"/>
    <w:rsid w:val="00422E85"/>
    <w:rsid w:val="0042407E"/>
    <w:rsid w:val="0042580C"/>
    <w:rsid w:val="00425E87"/>
    <w:rsid w:val="004269FB"/>
    <w:rsid w:val="00426C49"/>
    <w:rsid w:val="004276DC"/>
    <w:rsid w:val="00432B3F"/>
    <w:rsid w:val="0043390B"/>
    <w:rsid w:val="004340F3"/>
    <w:rsid w:val="0043424F"/>
    <w:rsid w:val="00436321"/>
    <w:rsid w:val="00436C88"/>
    <w:rsid w:val="00440883"/>
    <w:rsid w:val="00443139"/>
    <w:rsid w:val="0044538D"/>
    <w:rsid w:val="00445429"/>
    <w:rsid w:val="00450945"/>
    <w:rsid w:val="004513DF"/>
    <w:rsid w:val="00451534"/>
    <w:rsid w:val="00461443"/>
    <w:rsid w:val="0046352B"/>
    <w:rsid w:val="00463A50"/>
    <w:rsid w:val="0047303A"/>
    <w:rsid w:val="004735E9"/>
    <w:rsid w:val="004738FB"/>
    <w:rsid w:val="004741AF"/>
    <w:rsid w:val="00474B6C"/>
    <w:rsid w:val="004759F3"/>
    <w:rsid w:val="00475A1A"/>
    <w:rsid w:val="004811B5"/>
    <w:rsid w:val="00483DF6"/>
    <w:rsid w:val="004853F0"/>
    <w:rsid w:val="004854A2"/>
    <w:rsid w:val="004860CA"/>
    <w:rsid w:val="00487D8C"/>
    <w:rsid w:val="00491CAE"/>
    <w:rsid w:val="00492AFB"/>
    <w:rsid w:val="00494364"/>
    <w:rsid w:val="00494677"/>
    <w:rsid w:val="004A1BFC"/>
    <w:rsid w:val="004B3B6D"/>
    <w:rsid w:val="004B69AC"/>
    <w:rsid w:val="004C0A78"/>
    <w:rsid w:val="004C0ACC"/>
    <w:rsid w:val="004C0C27"/>
    <w:rsid w:val="004C2F2A"/>
    <w:rsid w:val="004C39C3"/>
    <w:rsid w:val="004C65E1"/>
    <w:rsid w:val="004D0B8E"/>
    <w:rsid w:val="004D184F"/>
    <w:rsid w:val="004D18BA"/>
    <w:rsid w:val="004D1C93"/>
    <w:rsid w:val="004D2319"/>
    <w:rsid w:val="004D3ADC"/>
    <w:rsid w:val="004D3C96"/>
    <w:rsid w:val="004E0FC1"/>
    <w:rsid w:val="004F06DD"/>
    <w:rsid w:val="004F0A0C"/>
    <w:rsid w:val="004F0BB5"/>
    <w:rsid w:val="004F1071"/>
    <w:rsid w:val="004F305F"/>
    <w:rsid w:val="004F465D"/>
    <w:rsid w:val="004F63F1"/>
    <w:rsid w:val="004F657D"/>
    <w:rsid w:val="004F6D46"/>
    <w:rsid w:val="005006D7"/>
    <w:rsid w:val="00504BFE"/>
    <w:rsid w:val="00505599"/>
    <w:rsid w:val="0050763C"/>
    <w:rsid w:val="00507720"/>
    <w:rsid w:val="00510C14"/>
    <w:rsid w:val="00513FCB"/>
    <w:rsid w:val="005158F1"/>
    <w:rsid w:val="00520C83"/>
    <w:rsid w:val="0052310B"/>
    <w:rsid w:val="00524DC8"/>
    <w:rsid w:val="00531CEB"/>
    <w:rsid w:val="005347D4"/>
    <w:rsid w:val="00540271"/>
    <w:rsid w:val="00541FBF"/>
    <w:rsid w:val="00542412"/>
    <w:rsid w:val="00551DE0"/>
    <w:rsid w:val="00553B23"/>
    <w:rsid w:val="0055413B"/>
    <w:rsid w:val="005551EB"/>
    <w:rsid w:val="005556A9"/>
    <w:rsid w:val="00555962"/>
    <w:rsid w:val="005616C4"/>
    <w:rsid w:val="00561FB0"/>
    <w:rsid w:val="005640BA"/>
    <w:rsid w:val="00564662"/>
    <w:rsid w:val="00566BBB"/>
    <w:rsid w:val="00571285"/>
    <w:rsid w:val="005748BE"/>
    <w:rsid w:val="005755A8"/>
    <w:rsid w:val="00576043"/>
    <w:rsid w:val="00581ECE"/>
    <w:rsid w:val="0058277E"/>
    <w:rsid w:val="00583642"/>
    <w:rsid w:val="005840CB"/>
    <w:rsid w:val="00586D79"/>
    <w:rsid w:val="00590C64"/>
    <w:rsid w:val="0059166F"/>
    <w:rsid w:val="00593902"/>
    <w:rsid w:val="00597B03"/>
    <w:rsid w:val="005A01F2"/>
    <w:rsid w:val="005A2411"/>
    <w:rsid w:val="005A3A7E"/>
    <w:rsid w:val="005A6D7F"/>
    <w:rsid w:val="005B048A"/>
    <w:rsid w:val="005B11BF"/>
    <w:rsid w:val="005B3117"/>
    <w:rsid w:val="005B358A"/>
    <w:rsid w:val="005B493A"/>
    <w:rsid w:val="005C0EF8"/>
    <w:rsid w:val="005C198E"/>
    <w:rsid w:val="005C2E99"/>
    <w:rsid w:val="005C51C2"/>
    <w:rsid w:val="005C5429"/>
    <w:rsid w:val="005C6C14"/>
    <w:rsid w:val="005D09DD"/>
    <w:rsid w:val="005D4E19"/>
    <w:rsid w:val="005E1EEA"/>
    <w:rsid w:val="005E38A8"/>
    <w:rsid w:val="005E440B"/>
    <w:rsid w:val="005E50D8"/>
    <w:rsid w:val="005E6C5F"/>
    <w:rsid w:val="005E7C83"/>
    <w:rsid w:val="005E7D0F"/>
    <w:rsid w:val="005E7ECC"/>
    <w:rsid w:val="005F0981"/>
    <w:rsid w:val="005F1B8A"/>
    <w:rsid w:val="005F1ECC"/>
    <w:rsid w:val="005F4754"/>
    <w:rsid w:val="005F53FC"/>
    <w:rsid w:val="005F757A"/>
    <w:rsid w:val="006041BF"/>
    <w:rsid w:val="00604927"/>
    <w:rsid w:val="0060559D"/>
    <w:rsid w:val="00605A00"/>
    <w:rsid w:val="00605F67"/>
    <w:rsid w:val="00605FA1"/>
    <w:rsid w:val="00606444"/>
    <w:rsid w:val="00606BE7"/>
    <w:rsid w:val="006075F1"/>
    <w:rsid w:val="006101ED"/>
    <w:rsid w:val="00610528"/>
    <w:rsid w:val="00612CA7"/>
    <w:rsid w:val="00614F39"/>
    <w:rsid w:val="00615075"/>
    <w:rsid w:val="00615F1A"/>
    <w:rsid w:val="006218DC"/>
    <w:rsid w:val="00625DA4"/>
    <w:rsid w:val="00626097"/>
    <w:rsid w:val="00626DC7"/>
    <w:rsid w:val="00631EFD"/>
    <w:rsid w:val="00635A1B"/>
    <w:rsid w:val="00635C26"/>
    <w:rsid w:val="00641FA4"/>
    <w:rsid w:val="00642FAC"/>
    <w:rsid w:val="0064384B"/>
    <w:rsid w:val="00645B1A"/>
    <w:rsid w:val="006475BB"/>
    <w:rsid w:val="00647ACF"/>
    <w:rsid w:val="0065195C"/>
    <w:rsid w:val="00651A74"/>
    <w:rsid w:val="00651B71"/>
    <w:rsid w:val="00652097"/>
    <w:rsid w:val="00656B6A"/>
    <w:rsid w:val="0066017B"/>
    <w:rsid w:val="006615BE"/>
    <w:rsid w:val="00662A6A"/>
    <w:rsid w:val="00666251"/>
    <w:rsid w:val="0067032B"/>
    <w:rsid w:val="006709F2"/>
    <w:rsid w:val="00670D42"/>
    <w:rsid w:val="00670E56"/>
    <w:rsid w:val="0067257C"/>
    <w:rsid w:val="006742AD"/>
    <w:rsid w:val="00675761"/>
    <w:rsid w:val="00676473"/>
    <w:rsid w:val="006773F8"/>
    <w:rsid w:val="00677ED8"/>
    <w:rsid w:val="0068585E"/>
    <w:rsid w:val="00686715"/>
    <w:rsid w:val="006906DF"/>
    <w:rsid w:val="00694DD3"/>
    <w:rsid w:val="00696056"/>
    <w:rsid w:val="006A2E5D"/>
    <w:rsid w:val="006A4D0A"/>
    <w:rsid w:val="006A735A"/>
    <w:rsid w:val="006A75E3"/>
    <w:rsid w:val="006A76B1"/>
    <w:rsid w:val="006B13AA"/>
    <w:rsid w:val="006B291C"/>
    <w:rsid w:val="006B367E"/>
    <w:rsid w:val="006B63AD"/>
    <w:rsid w:val="006C1987"/>
    <w:rsid w:val="006C1F6C"/>
    <w:rsid w:val="006C2BC3"/>
    <w:rsid w:val="006C31CD"/>
    <w:rsid w:val="006C3515"/>
    <w:rsid w:val="006C3C0C"/>
    <w:rsid w:val="006C3C41"/>
    <w:rsid w:val="006C4986"/>
    <w:rsid w:val="006C4A33"/>
    <w:rsid w:val="006C5DBD"/>
    <w:rsid w:val="006C7848"/>
    <w:rsid w:val="006D0981"/>
    <w:rsid w:val="006D0B00"/>
    <w:rsid w:val="006D0EBB"/>
    <w:rsid w:val="006D1ADA"/>
    <w:rsid w:val="006D22DB"/>
    <w:rsid w:val="006D3B14"/>
    <w:rsid w:val="006D4CC5"/>
    <w:rsid w:val="006D5536"/>
    <w:rsid w:val="006D596F"/>
    <w:rsid w:val="006D6ABA"/>
    <w:rsid w:val="006D6CA9"/>
    <w:rsid w:val="006E2094"/>
    <w:rsid w:val="006E3C81"/>
    <w:rsid w:val="006E4FF0"/>
    <w:rsid w:val="006E5991"/>
    <w:rsid w:val="006E7DEA"/>
    <w:rsid w:val="006F0560"/>
    <w:rsid w:val="006F1A44"/>
    <w:rsid w:val="006F1BF6"/>
    <w:rsid w:val="006F2E94"/>
    <w:rsid w:val="006F3994"/>
    <w:rsid w:val="006F3E1C"/>
    <w:rsid w:val="006F4B7A"/>
    <w:rsid w:val="006F6DAE"/>
    <w:rsid w:val="006F6DB0"/>
    <w:rsid w:val="006F753B"/>
    <w:rsid w:val="006F7F51"/>
    <w:rsid w:val="00701EE1"/>
    <w:rsid w:val="00702A13"/>
    <w:rsid w:val="00711679"/>
    <w:rsid w:val="00711B46"/>
    <w:rsid w:val="007138F2"/>
    <w:rsid w:val="0071443E"/>
    <w:rsid w:val="0071671C"/>
    <w:rsid w:val="0072309E"/>
    <w:rsid w:val="007236C8"/>
    <w:rsid w:val="007241DB"/>
    <w:rsid w:val="00724A87"/>
    <w:rsid w:val="00725B33"/>
    <w:rsid w:val="00726A65"/>
    <w:rsid w:val="00730C84"/>
    <w:rsid w:val="007339B7"/>
    <w:rsid w:val="00733C5F"/>
    <w:rsid w:val="00735A37"/>
    <w:rsid w:val="00735C2A"/>
    <w:rsid w:val="00735CE4"/>
    <w:rsid w:val="00737759"/>
    <w:rsid w:val="0074135E"/>
    <w:rsid w:val="00743FD2"/>
    <w:rsid w:val="00744159"/>
    <w:rsid w:val="007443B5"/>
    <w:rsid w:val="00745278"/>
    <w:rsid w:val="00745B09"/>
    <w:rsid w:val="00747EB8"/>
    <w:rsid w:val="00751371"/>
    <w:rsid w:val="00754928"/>
    <w:rsid w:val="00767DF3"/>
    <w:rsid w:val="007704B5"/>
    <w:rsid w:val="00771CD6"/>
    <w:rsid w:val="00773478"/>
    <w:rsid w:val="00773CDA"/>
    <w:rsid w:val="007743DF"/>
    <w:rsid w:val="00774706"/>
    <w:rsid w:val="00777755"/>
    <w:rsid w:val="0078076F"/>
    <w:rsid w:val="00787887"/>
    <w:rsid w:val="00792432"/>
    <w:rsid w:val="007936D5"/>
    <w:rsid w:val="007936D8"/>
    <w:rsid w:val="00794652"/>
    <w:rsid w:val="00794C05"/>
    <w:rsid w:val="00794F69"/>
    <w:rsid w:val="0079675A"/>
    <w:rsid w:val="00797D0E"/>
    <w:rsid w:val="007A6133"/>
    <w:rsid w:val="007A6BF8"/>
    <w:rsid w:val="007B2812"/>
    <w:rsid w:val="007B2E6D"/>
    <w:rsid w:val="007B5044"/>
    <w:rsid w:val="007B7766"/>
    <w:rsid w:val="007B7F32"/>
    <w:rsid w:val="007C0CB5"/>
    <w:rsid w:val="007C18B6"/>
    <w:rsid w:val="007C20B4"/>
    <w:rsid w:val="007C3A3A"/>
    <w:rsid w:val="007C5D33"/>
    <w:rsid w:val="007C6470"/>
    <w:rsid w:val="007C6E1C"/>
    <w:rsid w:val="007C6E6A"/>
    <w:rsid w:val="007D02A6"/>
    <w:rsid w:val="007D2C3A"/>
    <w:rsid w:val="007D4EB9"/>
    <w:rsid w:val="007D7406"/>
    <w:rsid w:val="007E0136"/>
    <w:rsid w:val="007E05A8"/>
    <w:rsid w:val="007E1371"/>
    <w:rsid w:val="007E430F"/>
    <w:rsid w:val="007F02C9"/>
    <w:rsid w:val="007F07FD"/>
    <w:rsid w:val="007F32A9"/>
    <w:rsid w:val="007F367F"/>
    <w:rsid w:val="007F3B87"/>
    <w:rsid w:val="007F4B95"/>
    <w:rsid w:val="007F4E07"/>
    <w:rsid w:val="007F7E9A"/>
    <w:rsid w:val="00800ED3"/>
    <w:rsid w:val="008020CA"/>
    <w:rsid w:val="0080538C"/>
    <w:rsid w:val="008078F9"/>
    <w:rsid w:val="00810799"/>
    <w:rsid w:val="00811172"/>
    <w:rsid w:val="00812209"/>
    <w:rsid w:val="00813A99"/>
    <w:rsid w:val="0081425B"/>
    <w:rsid w:val="00814F58"/>
    <w:rsid w:val="00815B25"/>
    <w:rsid w:val="0082317B"/>
    <w:rsid w:val="00824336"/>
    <w:rsid w:val="00825B20"/>
    <w:rsid w:val="0082636C"/>
    <w:rsid w:val="008302D7"/>
    <w:rsid w:val="00831628"/>
    <w:rsid w:val="00831F2B"/>
    <w:rsid w:val="00833F7D"/>
    <w:rsid w:val="00837F4D"/>
    <w:rsid w:val="00840432"/>
    <w:rsid w:val="0084160F"/>
    <w:rsid w:val="0084284E"/>
    <w:rsid w:val="00845696"/>
    <w:rsid w:val="00846916"/>
    <w:rsid w:val="00847078"/>
    <w:rsid w:val="00847D3F"/>
    <w:rsid w:val="00857289"/>
    <w:rsid w:val="0086053D"/>
    <w:rsid w:val="00865A62"/>
    <w:rsid w:val="00867A36"/>
    <w:rsid w:val="008702B6"/>
    <w:rsid w:val="00873B7D"/>
    <w:rsid w:val="008740F0"/>
    <w:rsid w:val="00874351"/>
    <w:rsid w:val="00875796"/>
    <w:rsid w:val="00882703"/>
    <w:rsid w:val="00882E18"/>
    <w:rsid w:val="00883043"/>
    <w:rsid w:val="00885DF5"/>
    <w:rsid w:val="008912BC"/>
    <w:rsid w:val="00893042"/>
    <w:rsid w:val="008932AA"/>
    <w:rsid w:val="00895966"/>
    <w:rsid w:val="00895D37"/>
    <w:rsid w:val="0089778B"/>
    <w:rsid w:val="008A1722"/>
    <w:rsid w:val="008A6084"/>
    <w:rsid w:val="008A6E18"/>
    <w:rsid w:val="008B006C"/>
    <w:rsid w:val="008B15E8"/>
    <w:rsid w:val="008B6744"/>
    <w:rsid w:val="008B6961"/>
    <w:rsid w:val="008C0E79"/>
    <w:rsid w:val="008C1A51"/>
    <w:rsid w:val="008C2A8B"/>
    <w:rsid w:val="008C436C"/>
    <w:rsid w:val="008C54C0"/>
    <w:rsid w:val="008C7073"/>
    <w:rsid w:val="008C74A1"/>
    <w:rsid w:val="008C7850"/>
    <w:rsid w:val="008D10D3"/>
    <w:rsid w:val="008D142B"/>
    <w:rsid w:val="008D2F90"/>
    <w:rsid w:val="008D5B39"/>
    <w:rsid w:val="008D663D"/>
    <w:rsid w:val="008D7F11"/>
    <w:rsid w:val="008E0874"/>
    <w:rsid w:val="008E1907"/>
    <w:rsid w:val="008E46C0"/>
    <w:rsid w:val="008E6A41"/>
    <w:rsid w:val="008E78C8"/>
    <w:rsid w:val="008F1651"/>
    <w:rsid w:val="008F169D"/>
    <w:rsid w:val="008F1E07"/>
    <w:rsid w:val="008F3907"/>
    <w:rsid w:val="008F3AFA"/>
    <w:rsid w:val="008F69B6"/>
    <w:rsid w:val="008F73BE"/>
    <w:rsid w:val="00900521"/>
    <w:rsid w:val="00900CF6"/>
    <w:rsid w:val="00901867"/>
    <w:rsid w:val="0090341F"/>
    <w:rsid w:val="009038BB"/>
    <w:rsid w:val="009038D7"/>
    <w:rsid w:val="0090594B"/>
    <w:rsid w:val="00905E32"/>
    <w:rsid w:val="00906A01"/>
    <w:rsid w:val="00907917"/>
    <w:rsid w:val="00912085"/>
    <w:rsid w:val="009158AC"/>
    <w:rsid w:val="00916032"/>
    <w:rsid w:val="009166D0"/>
    <w:rsid w:val="00922E45"/>
    <w:rsid w:val="0092341C"/>
    <w:rsid w:val="00924E6E"/>
    <w:rsid w:val="009252FE"/>
    <w:rsid w:val="009254FB"/>
    <w:rsid w:val="00926C46"/>
    <w:rsid w:val="009311A5"/>
    <w:rsid w:val="0093209A"/>
    <w:rsid w:val="0093297D"/>
    <w:rsid w:val="00933EC3"/>
    <w:rsid w:val="00934E6F"/>
    <w:rsid w:val="00943054"/>
    <w:rsid w:val="009443AD"/>
    <w:rsid w:val="00944587"/>
    <w:rsid w:val="0094506F"/>
    <w:rsid w:val="009466ED"/>
    <w:rsid w:val="009513D8"/>
    <w:rsid w:val="00952A4D"/>
    <w:rsid w:val="009576DB"/>
    <w:rsid w:val="00961539"/>
    <w:rsid w:val="009646B5"/>
    <w:rsid w:val="00974027"/>
    <w:rsid w:val="009750C8"/>
    <w:rsid w:val="00977B7F"/>
    <w:rsid w:val="0098240F"/>
    <w:rsid w:val="00982900"/>
    <w:rsid w:val="009829D0"/>
    <w:rsid w:val="009846B4"/>
    <w:rsid w:val="00986144"/>
    <w:rsid w:val="009914B4"/>
    <w:rsid w:val="009948B7"/>
    <w:rsid w:val="00995C75"/>
    <w:rsid w:val="00996AF9"/>
    <w:rsid w:val="009976B7"/>
    <w:rsid w:val="00997B7E"/>
    <w:rsid w:val="009A1237"/>
    <w:rsid w:val="009A27E5"/>
    <w:rsid w:val="009A2F1F"/>
    <w:rsid w:val="009A3EBD"/>
    <w:rsid w:val="009A604C"/>
    <w:rsid w:val="009B06E9"/>
    <w:rsid w:val="009B375D"/>
    <w:rsid w:val="009B64EE"/>
    <w:rsid w:val="009C497A"/>
    <w:rsid w:val="009C5999"/>
    <w:rsid w:val="009D0CBE"/>
    <w:rsid w:val="009D0CD4"/>
    <w:rsid w:val="009E0A4C"/>
    <w:rsid w:val="009E138D"/>
    <w:rsid w:val="009E4A63"/>
    <w:rsid w:val="009E6950"/>
    <w:rsid w:val="009F0A9C"/>
    <w:rsid w:val="009F2437"/>
    <w:rsid w:val="009F2FAE"/>
    <w:rsid w:val="009F3E83"/>
    <w:rsid w:val="009F559C"/>
    <w:rsid w:val="009F599D"/>
    <w:rsid w:val="009F76BC"/>
    <w:rsid w:val="00A021D3"/>
    <w:rsid w:val="00A02F36"/>
    <w:rsid w:val="00A041EC"/>
    <w:rsid w:val="00A07535"/>
    <w:rsid w:val="00A100DE"/>
    <w:rsid w:val="00A10604"/>
    <w:rsid w:val="00A13820"/>
    <w:rsid w:val="00A1607E"/>
    <w:rsid w:val="00A16B5F"/>
    <w:rsid w:val="00A1794C"/>
    <w:rsid w:val="00A200AE"/>
    <w:rsid w:val="00A20858"/>
    <w:rsid w:val="00A20996"/>
    <w:rsid w:val="00A21EFB"/>
    <w:rsid w:val="00A23A76"/>
    <w:rsid w:val="00A24D05"/>
    <w:rsid w:val="00A27EE4"/>
    <w:rsid w:val="00A32337"/>
    <w:rsid w:val="00A33089"/>
    <w:rsid w:val="00A40D2E"/>
    <w:rsid w:val="00A41228"/>
    <w:rsid w:val="00A412E1"/>
    <w:rsid w:val="00A42AA8"/>
    <w:rsid w:val="00A4569E"/>
    <w:rsid w:val="00A50042"/>
    <w:rsid w:val="00A50116"/>
    <w:rsid w:val="00A5052B"/>
    <w:rsid w:val="00A5129C"/>
    <w:rsid w:val="00A53F5A"/>
    <w:rsid w:val="00A55C8B"/>
    <w:rsid w:val="00A564E0"/>
    <w:rsid w:val="00A60C1F"/>
    <w:rsid w:val="00A62861"/>
    <w:rsid w:val="00A63FEC"/>
    <w:rsid w:val="00A65436"/>
    <w:rsid w:val="00A70B78"/>
    <w:rsid w:val="00A714A9"/>
    <w:rsid w:val="00A7288C"/>
    <w:rsid w:val="00A732E8"/>
    <w:rsid w:val="00A739A6"/>
    <w:rsid w:val="00A73EF5"/>
    <w:rsid w:val="00A76C2D"/>
    <w:rsid w:val="00A811BE"/>
    <w:rsid w:val="00A834C4"/>
    <w:rsid w:val="00A84309"/>
    <w:rsid w:val="00A84DA7"/>
    <w:rsid w:val="00A861AD"/>
    <w:rsid w:val="00A86857"/>
    <w:rsid w:val="00A86A09"/>
    <w:rsid w:val="00A87502"/>
    <w:rsid w:val="00A91EC6"/>
    <w:rsid w:val="00A9538A"/>
    <w:rsid w:val="00A954E3"/>
    <w:rsid w:val="00A96E6B"/>
    <w:rsid w:val="00A977D7"/>
    <w:rsid w:val="00AA080D"/>
    <w:rsid w:val="00AA25AD"/>
    <w:rsid w:val="00AA2B1A"/>
    <w:rsid w:val="00AA3737"/>
    <w:rsid w:val="00AA3EBB"/>
    <w:rsid w:val="00AA5D1F"/>
    <w:rsid w:val="00AB0500"/>
    <w:rsid w:val="00AB109A"/>
    <w:rsid w:val="00AB2481"/>
    <w:rsid w:val="00AB5106"/>
    <w:rsid w:val="00AB596C"/>
    <w:rsid w:val="00AC01E2"/>
    <w:rsid w:val="00AC1F1F"/>
    <w:rsid w:val="00AC2EE8"/>
    <w:rsid w:val="00AC48FD"/>
    <w:rsid w:val="00AC4B3B"/>
    <w:rsid w:val="00AC4F91"/>
    <w:rsid w:val="00AC6523"/>
    <w:rsid w:val="00AC69A0"/>
    <w:rsid w:val="00AC7E5C"/>
    <w:rsid w:val="00AD053C"/>
    <w:rsid w:val="00AD1116"/>
    <w:rsid w:val="00AD2A3D"/>
    <w:rsid w:val="00AD2BAD"/>
    <w:rsid w:val="00AD5CBC"/>
    <w:rsid w:val="00AD68A6"/>
    <w:rsid w:val="00AE1023"/>
    <w:rsid w:val="00AE17DD"/>
    <w:rsid w:val="00AE46A9"/>
    <w:rsid w:val="00AE5689"/>
    <w:rsid w:val="00AE706B"/>
    <w:rsid w:val="00AF3B18"/>
    <w:rsid w:val="00AF3E9F"/>
    <w:rsid w:val="00AF5E16"/>
    <w:rsid w:val="00B004A5"/>
    <w:rsid w:val="00B036B8"/>
    <w:rsid w:val="00B039D9"/>
    <w:rsid w:val="00B054AC"/>
    <w:rsid w:val="00B06545"/>
    <w:rsid w:val="00B07D26"/>
    <w:rsid w:val="00B10998"/>
    <w:rsid w:val="00B17550"/>
    <w:rsid w:val="00B1790A"/>
    <w:rsid w:val="00B20D52"/>
    <w:rsid w:val="00B215B8"/>
    <w:rsid w:val="00B23DB0"/>
    <w:rsid w:val="00B25096"/>
    <w:rsid w:val="00B25FC4"/>
    <w:rsid w:val="00B265E7"/>
    <w:rsid w:val="00B302E4"/>
    <w:rsid w:val="00B31EFD"/>
    <w:rsid w:val="00B32B6E"/>
    <w:rsid w:val="00B42D61"/>
    <w:rsid w:val="00B4647D"/>
    <w:rsid w:val="00B475A7"/>
    <w:rsid w:val="00B5008A"/>
    <w:rsid w:val="00B5061D"/>
    <w:rsid w:val="00B57115"/>
    <w:rsid w:val="00B60B9A"/>
    <w:rsid w:val="00B615B8"/>
    <w:rsid w:val="00B6524F"/>
    <w:rsid w:val="00B65F91"/>
    <w:rsid w:val="00B66499"/>
    <w:rsid w:val="00B704F7"/>
    <w:rsid w:val="00B7301B"/>
    <w:rsid w:val="00B77211"/>
    <w:rsid w:val="00B81663"/>
    <w:rsid w:val="00B8216A"/>
    <w:rsid w:val="00B8599A"/>
    <w:rsid w:val="00B865B4"/>
    <w:rsid w:val="00B87DA1"/>
    <w:rsid w:val="00B90A0B"/>
    <w:rsid w:val="00B93CCD"/>
    <w:rsid w:val="00B95F35"/>
    <w:rsid w:val="00BA0DBB"/>
    <w:rsid w:val="00BA1188"/>
    <w:rsid w:val="00BA1471"/>
    <w:rsid w:val="00BA1EF9"/>
    <w:rsid w:val="00BA68E6"/>
    <w:rsid w:val="00BB143B"/>
    <w:rsid w:val="00BB198E"/>
    <w:rsid w:val="00BB508A"/>
    <w:rsid w:val="00BB728F"/>
    <w:rsid w:val="00BC01F1"/>
    <w:rsid w:val="00BC2BA2"/>
    <w:rsid w:val="00BC301F"/>
    <w:rsid w:val="00BC4091"/>
    <w:rsid w:val="00BC6852"/>
    <w:rsid w:val="00BC7EFF"/>
    <w:rsid w:val="00BD016F"/>
    <w:rsid w:val="00BD0AA8"/>
    <w:rsid w:val="00BD2B60"/>
    <w:rsid w:val="00BD3DB3"/>
    <w:rsid w:val="00BD5E27"/>
    <w:rsid w:val="00BE4954"/>
    <w:rsid w:val="00BE600C"/>
    <w:rsid w:val="00BE62C8"/>
    <w:rsid w:val="00BF2215"/>
    <w:rsid w:val="00BF47D0"/>
    <w:rsid w:val="00BF6446"/>
    <w:rsid w:val="00BF7CF5"/>
    <w:rsid w:val="00C01367"/>
    <w:rsid w:val="00C016B0"/>
    <w:rsid w:val="00C01744"/>
    <w:rsid w:val="00C04A39"/>
    <w:rsid w:val="00C04E6F"/>
    <w:rsid w:val="00C071CE"/>
    <w:rsid w:val="00C07749"/>
    <w:rsid w:val="00C10C17"/>
    <w:rsid w:val="00C137B2"/>
    <w:rsid w:val="00C14966"/>
    <w:rsid w:val="00C14FB3"/>
    <w:rsid w:val="00C15C6D"/>
    <w:rsid w:val="00C15FDA"/>
    <w:rsid w:val="00C16240"/>
    <w:rsid w:val="00C1676D"/>
    <w:rsid w:val="00C16967"/>
    <w:rsid w:val="00C16F69"/>
    <w:rsid w:val="00C30B1D"/>
    <w:rsid w:val="00C318A4"/>
    <w:rsid w:val="00C3376B"/>
    <w:rsid w:val="00C33E88"/>
    <w:rsid w:val="00C42A03"/>
    <w:rsid w:val="00C44697"/>
    <w:rsid w:val="00C45F76"/>
    <w:rsid w:val="00C46FB1"/>
    <w:rsid w:val="00C50397"/>
    <w:rsid w:val="00C52119"/>
    <w:rsid w:val="00C55456"/>
    <w:rsid w:val="00C55D22"/>
    <w:rsid w:val="00C5748F"/>
    <w:rsid w:val="00C63FA1"/>
    <w:rsid w:val="00C65EDD"/>
    <w:rsid w:val="00C6735C"/>
    <w:rsid w:val="00C70414"/>
    <w:rsid w:val="00C7071B"/>
    <w:rsid w:val="00C70BBC"/>
    <w:rsid w:val="00C7417D"/>
    <w:rsid w:val="00C745A7"/>
    <w:rsid w:val="00C75F3F"/>
    <w:rsid w:val="00C77FEF"/>
    <w:rsid w:val="00C807BA"/>
    <w:rsid w:val="00C81F86"/>
    <w:rsid w:val="00C820C1"/>
    <w:rsid w:val="00C83B2C"/>
    <w:rsid w:val="00C83E88"/>
    <w:rsid w:val="00C84891"/>
    <w:rsid w:val="00C849AF"/>
    <w:rsid w:val="00C86680"/>
    <w:rsid w:val="00C86FA2"/>
    <w:rsid w:val="00C906DA"/>
    <w:rsid w:val="00C91125"/>
    <w:rsid w:val="00C93596"/>
    <w:rsid w:val="00C93F06"/>
    <w:rsid w:val="00C94D2B"/>
    <w:rsid w:val="00C967B4"/>
    <w:rsid w:val="00C97412"/>
    <w:rsid w:val="00CA20DF"/>
    <w:rsid w:val="00CA3003"/>
    <w:rsid w:val="00CA49C7"/>
    <w:rsid w:val="00CA50A5"/>
    <w:rsid w:val="00CA673B"/>
    <w:rsid w:val="00CB11AF"/>
    <w:rsid w:val="00CB35AC"/>
    <w:rsid w:val="00CB46FB"/>
    <w:rsid w:val="00CB499A"/>
    <w:rsid w:val="00CB52A7"/>
    <w:rsid w:val="00CC0306"/>
    <w:rsid w:val="00CC0A70"/>
    <w:rsid w:val="00CC3020"/>
    <w:rsid w:val="00CC51BA"/>
    <w:rsid w:val="00CC7D3A"/>
    <w:rsid w:val="00CD112B"/>
    <w:rsid w:val="00CD6534"/>
    <w:rsid w:val="00CE065C"/>
    <w:rsid w:val="00CE178A"/>
    <w:rsid w:val="00CE37C9"/>
    <w:rsid w:val="00CE50A7"/>
    <w:rsid w:val="00CE56BD"/>
    <w:rsid w:val="00CE623C"/>
    <w:rsid w:val="00CF04A0"/>
    <w:rsid w:val="00CF38C2"/>
    <w:rsid w:val="00CF5EB1"/>
    <w:rsid w:val="00CF7A6E"/>
    <w:rsid w:val="00D012B6"/>
    <w:rsid w:val="00D01878"/>
    <w:rsid w:val="00D01D70"/>
    <w:rsid w:val="00D037A5"/>
    <w:rsid w:val="00D03D1D"/>
    <w:rsid w:val="00D07710"/>
    <w:rsid w:val="00D117EF"/>
    <w:rsid w:val="00D12B00"/>
    <w:rsid w:val="00D13C5F"/>
    <w:rsid w:val="00D15510"/>
    <w:rsid w:val="00D15899"/>
    <w:rsid w:val="00D16721"/>
    <w:rsid w:val="00D16C4D"/>
    <w:rsid w:val="00D17682"/>
    <w:rsid w:val="00D231A0"/>
    <w:rsid w:val="00D24316"/>
    <w:rsid w:val="00D24A3E"/>
    <w:rsid w:val="00D30BA5"/>
    <w:rsid w:val="00D3162D"/>
    <w:rsid w:val="00D363A8"/>
    <w:rsid w:val="00D36C42"/>
    <w:rsid w:val="00D434FA"/>
    <w:rsid w:val="00D462D8"/>
    <w:rsid w:val="00D5061C"/>
    <w:rsid w:val="00D51D6A"/>
    <w:rsid w:val="00D52EE5"/>
    <w:rsid w:val="00D54245"/>
    <w:rsid w:val="00D54B46"/>
    <w:rsid w:val="00D559F3"/>
    <w:rsid w:val="00D57325"/>
    <w:rsid w:val="00D57BB6"/>
    <w:rsid w:val="00D646EB"/>
    <w:rsid w:val="00D66B45"/>
    <w:rsid w:val="00D67C26"/>
    <w:rsid w:val="00D71D9E"/>
    <w:rsid w:val="00D7462D"/>
    <w:rsid w:val="00D75235"/>
    <w:rsid w:val="00D76162"/>
    <w:rsid w:val="00D763BE"/>
    <w:rsid w:val="00D80931"/>
    <w:rsid w:val="00D814BE"/>
    <w:rsid w:val="00D81F71"/>
    <w:rsid w:val="00D827B7"/>
    <w:rsid w:val="00D835E2"/>
    <w:rsid w:val="00D84AC5"/>
    <w:rsid w:val="00D84C64"/>
    <w:rsid w:val="00D86B8B"/>
    <w:rsid w:val="00D90921"/>
    <w:rsid w:val="00D935C8"/>
    <w:rsid w:val="00D94EBC"/>
    <w:rsid w:val="00D965B9"/>
    <w:rsid w:val="00D97D6B"/>
    <w:rsid w:val="00DA08A7"/>
    <w:rsid w:val="00DB4395"/>
    <w:rsid w:val="00DB59C4"/>
    <w:rsid w:val="00DC019F"/>
    <w:rsid w:val="00DC3993"/>
    <w:rsid w:val="00DC5755"/>
    <w:rsid w:val="00DD3FBC"/>
    <w:rsid w:val="00DD747A"/>
    <w:rsid w:val="00DD79DA"/>
    <w:rsid w:val="00DD7C49"/>
    <w:rsid w:val="00DE0CAC"/>
    <w:rsid w:val="00DE10E0"/>
    <w:rsid w:val="00DE3E5E"/>
    <w:rsid w:val="00DE6096"/>
    <w:rsid w:val="00DE7B3D"/>
    <w:rsid w:val="00DE7BE8"/>
    <w:rsid w:val="00DF2A73"/>
    <w:rsid w:val="00DF328F"/>
    <w:rsid w:val="00DF3C5E"/>
    <w:rsid w:val="00DF4039"/>
    <w:rsid w:val="00DF500E"/>
    <w:rsid w:val="00DF5CE8"/>
    <w:rsid w:val="00DF6065"/>
    <w:rsid w:val="00DF669C"/>
    <w:rsid w:val="00DF776B"/>
    <w:rsid w:val="00E050AB"/>
    <w:rsid w:val="00E062AA"/>
    <w:rsid w:val="00E105DC"/>
    <w:rsid w:val="00E12340"/>
    <w:rsid w:val="00E16789"/>
    <w:rsid w:val="00E16B18"/>
    <w:rsid w:val="00E17C2C"/>
    <w:rsid w:val="00E21A1B"/>
    <w:rsid w:val="00E21D33"/>
    <w:rsid w:val="00E23562"/>
    <w:rsid w:val="00E30705"/>
    <w:rsid w:val="00E31F22"/>
    <w:rsid w:val="00E3382C"/>
    <w:rsid w:val="00E34527"/>
    <w:rsid w:val="00E35060"/>
    <w:rsid w:val="00E37EA9"/>
    <w:rsid w:val="00E37F61"/>
    <w:rsid w:val="00E42108"/>
    <w:rsid w:val="00E470F2"/>
    <w:rsid w:val="00E47B59"/>
    <w:rsid w:val="00E57D3A"/>
    <w:rsid w:val="00E64C2B"/>
    <w:rsid w:val="00E65AFB"/>
    <w:rsid w:val="00E66DB3"/>
    <w:rsid w:val="00E72526"/>
    <w:rsid w:val="00E74226"/>
    <w:rsid w:val="00E77B6B"/>
    <w:rsid w:val="00E828D1"/>
    <w:rsid w:val="00E86905"/>
    <w:rsid w:val="00E92AC1"/>
    <w:rsid w:val="00E9424F"/>
    <w:rsid w:val="00E97044"/>
    <w:rsid w:val="00EA1B43"/>
    <w:rsid w:val="00EA1F81"/>
    <w:rsid w:val="00EA2264"/>
    <w:rsid w:val="00EA2E71"/>
    <w:rsid w:val="00EA4852"/>
    <w:rsid w:val="00EA596F"/>
    <w:rsid w:val="00EA624B"/>
    <w:rsid w:val="00EA701F"/>
    <w:rsid w:val="00EB0BED"/>
    <w:rsid w:val="00EB1D30"/>
    <w:rsid w:val="00EB2B33"/>
    <w:rsid w:val="00EB43DF"/>
    <w:rsid w:val="00EB5F7F"/>
    <w:rsid w:val="00EB65B1"/>
    <w:rsid w:val="00EB7CAD"/>
    <w:rsid w:val="00EC1166"/>
    <w:rsid w:val="00EC671F"/>
    <w:rsid w:val="00EC6D96"/>
    <w:rsid w:val="00ED0051"/>
    <w:rsid w:val="00EE16BA"/>
    <w:rsid w:val="00EE19BB"/>
    <w:rsid w:val="00EE1CD7"/>
    <w:rsid w:val="00EE3DFD"/>
    <w:rsid w:val="00EE4B22"/>
    <w:rsid w:val="00EE58B8"/>
    <w:rsid w:val="00EF3EE3"/>
    <w:rsid w:val="00EF45A6"/>
    <w:rsid w:val="00F02DB1"/>
    <w:rsid w:val="00F03C83"/>
    <w:rsid w:val="00F04881"/>
    <w:rsid w:val="00F04D97"/>
    <w:rsid w:val="00F04DBA"/>
    <w:rsid w:val="00F05BBE"/>
    <w:rsid w:val="00F12B5B"/>
    <w:rsid w:val="00F12E75"/>
    <w:rsid w:val="00F141E3"/>
    <w:rsid w:val="00F17662"/>
    <w:rsid w:val="00F22055"/>
    <w:rsid w:val="00F22725"/>
    <w:rsid w:val="00F22CB1"/>
    <w:rsid w:val="00F273AB"/>
    <w:rsid w:val="00F30354"/>
    <w:rsid w:val="00F32B2E"/>
    <w:rsid w:val="00F35083"/>
    <w:rsid w:val="00F36305"/>
    <w:rsid w:val="00F42B00"/>
    <w:rsid w:val="00F45582"/>
    <w:rsid w:val="00F455AF"/>
    <w:rsid w:val="00F45D97"/>
    <w:rsid w:val="00F47500"/>
    <w:rsid w:val="00F50586"/>
    <w:rsid w:val="00F5064C"/>
    <w:rsid w:val="00F50B39"/>
    <w:rsid w:val="00F52349"/>
    <w:rsid w:val="00F53F86"/>
    <w:rsid w:val="00F546FD"/>
    <w:rsid w:val="00F63CC3"/>
    <w:rsid w:val="00F653EF"/>
    <w:rsid w:val="00F70B76"/>
    <w:rsid w:val="00F72667"/>
    <w:rsid w:val="00F72875"/>
    <w:rsid w:val="00F73F31"/>
    <w:rsid w:val="00F743DA"/>
    <w:rsid w:val="00F75339"/>
    <w:rsid w:val="00F77309"/>
    <w:rsid w:val="00F84F8F"/>
    <w:rsid w:val="00F91965"/>
    <w:rsid w:val="00F92A36"/>
    <w:rsid w:val="00F94437"/>
    <w:rsid w:val="00FA07ED"/>
    <w:rsid w:val="00FA22FF"/>
    <w:rsid w:val="00FA2CA6"/>
    <w:rsid w:val="00FA2CD9"/>
    <w:rsid w:val="00FA3892"/>
    <w:rsid w:val="00FA7677"/>
    <w:rsid w:val="00FB54C5"/>
    <w:rsid w:val="00FB596A"/>
    <w:rsid w:val="00FB6BF6"/>
    <w:rsid w:val="00FB734E"/>
    <w:rsid w:val="00FC2841"/>
    <w:rsid w:val="00FC6817"/>
    <w:rsid w:val="00FD4502"/>
    <w:rsid w:val="00FD7E52"/>
    <w:rsid w:val="00FE0194"/>
    <w:rsid w:val="00FE1598"/>
    <w:rsid w:val="00FE1B1B"/>
    <w:rsid w:val="00FE214A"/>
    <w:rsid w:val="00FE29A8"/>
    <w:rsid w:val="00FE2D3B"/>
    <w:rsid w:val="00FE43CB"/>
    <w:rsid w:val="00FF07F4"/>
    <w:rsid w:val="00FF274B"/>
    <w:rsid w:val="00FF27D6"/>
    <w:rsid w:val="00FF380C"/>
    <w:rsid w:val="00FF393D"/>
    <w:rsid w:val="00FF4F43"/>
    <w:rsid w:val="00FF72CD"/>
    <w:rsid w:val="03D22A0B"/>
    <w:rsid w:val="0B494101"/>
    <w:rsid w:val="100D0ABE"/>
    <w:rsid w:val="1D4158F2"/>
    <w:rsid w:val="3972585A"/>
    <w:rsid w:val="417B2021"/>
    <w:rsid w:val="73B75DC1"/>
    <w:rsid w:val="758A7B30"/>
    <w:rsid w:val="7F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83C78"/>
  <w15:docId w15:val="{D5EF975D-2382-4CFF-99A0-92982041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a5"/>
    <w:qFormat/>
    <w:pPr>
      <w:jc w:val="left"/>
    </w:pPr>
    <w:rPr>
      <w:kern w:val="0"/>
      <w:sz w:val="20"/>
    </w:r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kern w:val="0"/>
      <w:sz w:val="24"/>
      <w:szCs w:val="30"/>
    </w:rPr>
  </w:style>
  <w:style w:type="paragraph" w:styleId="5">
    <w:name w:val="toc 5"/>
    <w:basedOn w:val="a"/>
    <w:next w:val="a"/>
    <w:semiHidden/>
    <w:qFormat/>
    <w:pPr>
      <w:ind w:leftChars="800" w:left="1680"/>
    </w:pPr>
  </w:style>
  <w:style w:type="paragraph" w:styleId="31">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kern w:val="0"/>
      <w:sz w:val="28"/>
      <w:szCs w:val="20"/>
    </w:rPr>
  </w:style>
  <w:style w:type="paragraph" w:styleId="aa">
    <w:name w:val="Balloon Text"/>
    <w:basedOn w:val="a"/>
    <w:link w:val="ab"/>
    <w:semiHidden/>
    <w:qFormat/>
    <w:rPr>
      <w:kern w:val="0"/>
      <w:sz w:val="18"/>
      <w:szCs w:val="18"/>
    </w:rPr>
  </w:style>
  <w:style w:type="paragraph" w:styleId="ac">
    <w:name w:val="footer"/>
    <w:basedOn w:val="a"/>
    <w:link w:val="ad"/>
    <w:qFormat/>
    <w:pPr>
      <w:tabs>
        <w:tab w:val="center" w:pos="4153"/>
        <w:tab w:val="right" w:pos="8306"/>
      </w:tabs>
      <w:snapToGrid w:val="0"/>
      <w:jc w:val="left"/>
    </w:pPr>
    <w:rPr>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2">
    <w:name w:val="Body Text Indent 3"/>
    <w:basedOn w:val="a"/>
    <w:link w:val="33"/>
    <w:qFormat/>
    <w:pPr>
      <w:adjustRightInd w:val="0"/>
      <w:snapToGrid w:val="0"/>
      <w:ind w:firstLineChars="200" w:firstLine="480"/>
    </w:pPr>
    <w:rPr>
      <w:rFonts w:ascii="仿宋_GB2312" w:eastAsia="仿宋_GB2312" w:hAnsi="宋体"/>
      <w:color w:val="000000"/>
      <w:kern w:val="0"/>
      <w:sz w:val="24"/>
    </w:rPr>
  </w:style>
  <w:style w:type="paragraph" w:styleId="23">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unhideWhenUsed/>
    <w:qFormat/>
    <w:rPr>
      <w:b/>
      <w:bCs/>
      <w:kern w:val="2"/>
      <w:sz w:val="21"/>
    </w:rPr>
  </w:style>
  <w:style w:type="character" w:styleId="af3">
    <w:name w:val="Strong"/>
    <w:qFormat/>
    <w:rPr>
      <w:b/>
      <w:bCs/>
    </w:rPr>
  </w:style>
  <w:style w:type="character" w:styleId="af4">
    <w:name w:val="page number"/>
    <w:basedOn w:val="a1"/>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20">
    <w:name w:val="标题 2 字符"/>
    <w:link w:val="2"/>
    <w:qFormat/>
    <w:rPr>
      <w:rFonts w:ascii="Arial" w:eastAsia="黑体" w:hAnsi="Arial"/>
      <w:b/>
      <w:sz w:val="32"/>
    </w:rPr>
  </w:style>
  <w:style w:type="character" w:customStyle="1" w:styleId="ad">
    <w:name w:val="页脚 字符"/>
    <w:link w:val="ac"/>
    <w:qFormat/>
    <w:rPr>
      <w:rFonts w:ascii="Times New Roman" w:hAnsi="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9">
    <w:name w:val="正文文本缩进 字符"/>
    <w:link w:val="a8"/>
    <w:qFormat/>
    <w:rPr>
      <w:rFonts w:ascii="Times New Roman" w:eastAsia="方正仿宋简体" w:hAnsi="Times New Roman"/>
      <w:sz w:val="24"/>
      <w:szCs w:val="30"/>
    </w:rPr>
  </w:style>
  <w:style w:type="character" w:customStyle="1" w:styleId="22">
    <w:name w:val="正文文本缩进 2 字符"/>
    <w:link w:val="21"/>
    <w:qFormat/>
    <w:rPr>
      <w:rFonts w:ascii="宋体" w:hAnsi="宋体"/>
      <w:sz w:val="28"/>
    </w:rPr>
  </w:style>
  <w:style w:type="character" w:customStyle="1" w:styleId="33">
    <w:name w:val="正文文本缩进 3 字符"/>
    <w:link w:val="32"/>
    <w:qFormat/>
    <w:rPr>
      <w:rFonts w:ascii="仿宋_GB2312" w:eastAsia="仿宋_GB2312" w:hAnsi="宋体"/>
      <w:color w:val="000000"/>
      <w:sz w:val="24"/>
      <w:szCs w:val="24"/>
    </w:rPr>
  </w:style>
  <w:style w:type="character" w:customStyle="1" w:styleId="ab">
    <w:name w:val="批注框文本 字符"/>
    <w:link w:val="aa"/>
    <w:semiHidden/>
    <w:qFormat/>
    <w:rPr>
      <w:rFonts w:ascii="Times New Roman" w:hAnsi="Times New Roman"/>
      <w:sz w:val="18"/>
      <w:szCs w:val="18"/>
    </w:rPr>
  </w:style>
  <w:style w:type="character" w:customStyle="1" w:styleId="af">
    <w:name w:val="页眉 字符"/>
    <w:link w:val="ae"/>
    <w:qFormat/>
    <w:rPr>
      <w:rFonts w:ascii="Times New Roman" w:hAnsi="Times New Roman"/>
      <w:sz w:val="18"/>
      <w:szCs w:val="18"/>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5">
    <w:name w:val="批注文字 字符"/>
    <w:link w:val="a4"/>
    <w:qFormat/>
    <w:rPr>
      <w:rFonts w:ascii="Times New Roman" w:hAnsi="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af2">
    <w:name w:val="批注主题 字符"/>
    <w:link w:val="af1"/>
    <w:qFormat/>
    <w:rPr>
      <w:rFonts w:ascii="Times New Roman" w:hAnsi="Times New Roman"/>
      <w:b/>
      <w:bCs/>
      <w:kern w:val="2"/>
      <w:sz w:val="21"/>
      <w:szCs w:val="24"/>
    </w:rPr>
  </w:style>
  <w:style w:type="paragraph" w:customStyle="1" w:styleId="12">
    <w:name w:val="修订1"/>
    <w:hidden/>
    <w:uiPriority w:val="99"/>
    <w:semiHidden/>
    <w:qFormat/>
    <w:rPr>
      <w:kern w:val="2"/>
      <w:sz w:val="21"/>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30">
    <w:name w:val="标题 3 字符"/>
    <w:link w:val="3"/>
    <w:uiPriority w:val="9"/>
    <w:qFormat/>
    <w:rPr>
      <w:rFonts w:ascii="Times New Roman" w:hAnsi="Times New Roman"/>
      <w:b/>
      <w:bCs/>
      <w:kern w:val="2"/>
      <w:sz w:val="32"/>
      <w:szCs w:val="32"/>
    </w:rPr>
  </w:style>
  <w:style w:type="paragraph" w:customStyle="1" w:styleId="Char2">
    <w:name w:val="Char2"/>
    <w:basedOn w:val="a"/>
    <w:qFormat/>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1">
    <w:name w:val="Char Char Char1"/>
    <w:basedOn w:val="a"/>
    <w:qFormat/>
  </w:style>
  <w:style w:type="paragraph" w:customStyle="1" w:styleId="CharCharCharCharCharCharChar1CharCharCharCharCharChar1">
    <w:name w:val="Char Char Char Char Char Char Char1 Char Char Char Char Char Char1"/>
    <w:basedOn w:val="a"/>
    <w:qFormat/>
  </w:style>
  <w:style w:type="paragraph" w:customStyle="1" w:styleId="CharChar1">
    <w:name w:val="Char Char1"/>
    <w:basedOn w:val="a"/>
    <w:qFormat/>
    <w:rPr>
      <w:szCs w:val="20"/>
    </w:rPr>
  </w:style>
  <w:style w:type="paragraph" w:customStyle="1" w:styleId="24">
    <w:name w:val="修订2"/>
    <w:hidden/>
    <w:uiPriority w:val="99"/>
    <w:semiHidden/>
    <w:qFormat/>
    <w:rPr>
      <w:kern w:val="2"/>
      <w:sz w:val="21"/>
      <w:szCs w:val="24"/>
    </w:rPr>
  </w:style>
  <w:style w:type="character" w:customStyle="1" w:styleId="10">
    <w:name w:val="标题 1 字符"/>
    <w:basedOn w:val="a1"/>
    <w:link w:val="1"/>
    <w:uiPriority w:val="9"/>
    <w:qFormat/>
    <w:rPr>
      <w:b/>
      <w:bCs/>
      <w:kern w:val="44"/>
      <w:sz w:val="44"/>
      <w:szCs w:val="44"/>
    </w:rPr>
  </w:style>
  <w:style w:type="paragraph" w:styleId="af8">
    <w:name w:val="Revision"/>
    <w:hidden/>
    <w:uiPriority w:val="99"/>
    <w:semiHidden/>
    <w:rsid w:val="004166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848FA-E08C-45F7-B644-A1AB4626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52</Pages>
  <Words>4927</Words>
  <Characters>28085</Characters>
  <Application>Microsoft Office Word</Application>
  <DocSecurity>0</DocSecurity>
  <Lines>234</Lines>
  <Paragraphs>65</Paragraphs>
  <ScaleCrop>false</ScaleCrop>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李林蔓02</cp:lastModifiedBy>
  <cp:revision>518</cp:revision>
  <cp:lastPrinted>2022-09-01T06:11:00Z</cp:lastPrinted>
  <dcterms:created xsi:type="dcterms:W3CDTF">2023-02-02T06:20:00Z</dcterms:created>
  <dcterms:modified xsi:type="dcterms:W3CDTF">2025-02-26T06:16:00Z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4E69A6835EE742948E2EBF96C8E74CD2</vt:lpwstr>
  </property>
</Properties>
</file>